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DE" w:rsidRDefault="005A32DE">
      <w:pPr>
        <w:ind w:firstLine="420"/>
        <w:rPr>
          <w:rFonts w:ascii="黑体" w:eastAsia="黑体" w:hAnsi="宋体"/>
          <w:sz w:val="44"/>
        </w:rPr>
      </w:pPr>
    </w:p>
    <w:p w:rsidR="005A32DE" w:rsidRDefault="005A32DE">
      <w:pPr>
        <w:jc w:val="center"/>
        <w:rPr>
          <w:rFonts w:ascii="黑体" w:eastAsia="黑体" w:hAnsi="宋体"/>
          <w:sz w:val="44"/>
        </w:rPr>
      </w:pPr>
    </w:p>
    <w:p w:rsidR="005A32DE" w:rsidRDefault="005A32DE">
      <w:pPr>
        <w:jc w:val="center"/>
        <w:rPr>
          <w:rFonts w:ascii="黑体" w:eastAsia="黑体" w:hAnsi="宋体"/>
          <w:sz w:val="44"/>
        </w:rPr>
      </w:pPr>
    </w:p>
    <w:p w:rsidR="005A32DE" w:rsidRDefault="005A32DE">
      <w:pPr>
        <w:jc w:val="center"/>
        <w:rPr>
          <w:rFonts w:ascii="黑体" w:eastAsia="黑体" w:hAnsi="宋体"/>
          <w:sz w:val="44"/>
        </w:rPr>
      </w:pPr>
    </w:p>
    <w:p w:rsidR="005A32DE" w:rsidRDefault="005A32DE">
      <w:pPr>
        <w:jc w:val="center"/>
        <w:rPr>
          <w:rFonts w:ascii="黑体" w:eastAsia="黑体" w:hAnsi="宋体"/>
          <w:sz w:val="44"/>
        </w:rPr>
      </w:pPr>
    </w:p>
    <w:p w:rsidR="005A32DE" w:rsidRDefault="005A32DE">
      <w:pPr>
        <w:jc w:val="center"/>
        <w:rPr>
          <w:rFonts w:ascii="黑体" w:eastAsia="黑体" w:hAnsi="宋体"/>
          <w:b/>
          <w:bCs/>
          <w:sz w:val="52"/>
          <w:szCs w:val="52"/>
        </w:rPr>
      </w:pPr>
      <w:r>
        <w:rPr>
          <w:rFonts w:ascii="黑体" w:eastAsia="黑体" w:hAnsi="宋体" w:hint="eastAsia"/>
          <w:b/>
          <w:bCs/>
          <w:sz w:val="52"/>
          <w:szCs w:val="52"/>
        </w:rPr>
        <w:t>成都市</w:t>
      </w:r>
      <w:proofErr w:type="gramStart"/>
      <w:r>
        <w:rPr>
          <w:rFonts w:ascii="黑体" w:eastAsia="黑体" w:hAnsi="宋体" w:hint="eastAsia"/>
          <w:b/>
          <w:bCs/>
          <w:sz w:val="52"/>
          <w:szCs w:val="52"/>
        </w:rPr>
        <w:t>教育城域专网</w:t>
      </w:r>
      <w:proofErr w:type="gramEnd"/>
    </w:p>
    <w:p w:rsidR="005A32DE" w:rsidRDefault="00401744" w:rsidP="00401744">
      <w:pPr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b/>
          <w:bCs/>
          <w:sz w:val="52"/>
          <w:szCs w:val="52"/>
        </w:rPr>
        <w:t>运行</w:t>
      </w:r>
      <w:r w:rsidR="001D3D7A">
        <w:rPr>
          <w:rFonts w:ascii="黑体" w:eastAsia="黑体" w:hAnsi="宋体" w:hint="eastAsia"/>
          <w:b/>
          <w:sz w:val="52"/>
          <w:szCs w:val="52"/>
        </w:rPr>
        <w:t>月报</w:t>
      </w:r>
    </w:p>
    <w:p w:rsidR="005A32DE" w:rsidRDefault="005A32DE">
      <w:pPr>
        <w:jc w:val="center"/>
        <w:rPr>
          <w:rFonts w:ascii="宋体" w:hAnsi="宋体"/>
          <w:sz w:val="32"/>
        </w:rPr>
      </w:pPr>
    </w:p>
    <w:p w:rsidR="005A32DE" w:rsidRDefault="005A32DE">
      <w:pPr>
        <w:jc w:val="center"/>
        <w:rPr>
          <w:rFonts w:ascii="宋体" w:hAnsi="宋体"/>
          <w:sz w:val="32"/>
        </w:rPr>
      </w:pPr>
    </w:p>
    <w:p w:rsidR="005A32DE" w:rsidRDefault="005A32DE">
      <w:pPr>
        <w:jc w:val="center"/>
        <w:rPr>
          <w:rFonts w:ascii="宋体" w:hAnsi="宋体"/>
          <w:sz w:val="32"/>
        </w:rPr>
      </w:pPr>
    </w:p>
    <w:p w:rsidR="005A32DE" w:rsidRDefault="005A32DE">
      <w:pPr>
        <w:jc w:val="center"/>
        <w:rPr>
          <w:rFonts w:ascii="宋体" w:hAnsi="宋体"/>
          <w:sz w:val="32"/>
        </w:rPr>
      </w:pPr>
    </w:p>
    <w:p w:rsidR="005A32DE" w:rsidRDefault="005A32DE">
      <w:pPr>
        <w:rPr>
          <w:rFonts w:ascii="宋体" w:hAnsi="宋体"/>
          <w:b/>
        </w:rPr>
      </w:pPr>
    </w:p>
    <w:p w:rsidR="00401744" w:rsidRDefault="00401744" w:rsidP="0040174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成都市教育技术装备管理中心</w:t>
      </w:r>
    </w:p>
    <w:p w:rsidR="00401744" w:rsidRDefault="00401744" w:rsidP="0040174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成都产品质量检验研究院有限责任公司</w:t>
      </w:r>
    </w:p>
    <w:p w:rsidR="005A32DE" w:rsidRDefault="005A32DE" w:rsidP="0040174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中国电信股份有限公司成都分公司</w:t>
      </w:r>
    </w:p>
    <w:p w:rsidR="005A32DE" w:rsidRDefault="005A32DE">
      <w:pPr>
        <w:jc w:val="left"/>
        <w:rPr>
          <w:rFonts w:ascii="宋体" w:hAnsi="宋体"/>
          <w:b/>
          <w:sz w:val="32"/>
          <w:szCs w:val="32"/>
        </w:rPr>
      </w:pPr>
    </w:p>
    <w:p w:rsidR="005A32DE" w:rsidRDefault="005A32DE">
      <w:pPr>
        <w:jc w:val="left"/>
        <w:rPr>
          <w:rFonts w:ascii="宋体" w:hAnsi="宋体"/>
          <w:b/>
          <w:sz w:val="32"/>
          <w:szCs w:val="32"/>
        </w:rPr>
      </w:pPr>
    </w:p>
    <w:p w:rsidR="005A32DE" w:rsidRDefault="005A32DE">
      <w:pPr>
        <w:jc w:val="left"/>
        <w:rPr>
          <w:rFonts w:ascii="宋体" w:hAnsi="宋体"/>
          <w:sz w:val="32"/>
          <w:szCs w:val="32"/>
        </w:rPr>
      </w:pPr>
    </w:p>
    <w:p w:rsidR="005A32DE" w:rsidRDefault="005A32DE">
      <w:pPr>
        <w:jc w:val="left"/>
        <w:rPr>
          <w:rFonts w:ascii="宋体" w:hAnsi="宋体"/>
        </w:rPr>
      </w:pPr>
    </w:p>
    <w:p w:rsidR="005A32DE" w:rsidRDefault="005A32DE">
      <w:pPr>
        <w:jc w:val="center"/>
        <w:rPr>
          <w:rFonts w:ascii="宋体" w:hAnsi="宋体"/>
          <w:b/>
          <w:sz w:val="32"/>
          <w:szCs w:val="32"/>
        </w:rPr>
        <w:sectPr w:rsidR="005A32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sz w:val="32"/>
          <w:szCs w:val="32"/>
        </w:rPr>
        <w:t>2017年3月</w:t>
      </w:r>
    </w:p>
    <w:p w:rsidR="00EC70F5" w:rsidRPr="00DB71FD" w:rsidRDefault="00EC70F5" w:rsidP="00EC70F5">
      <w:pPr>
        <w:pStyle w:val="ab"/>
        <w:ind w:firstLineChars="177" w:firstLine="566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lastRenderedPageBreak/>
        <w:t>成都市</w:t>
      </w:r>
      <w:proofErr w:type="gramStart"/>
      <w:r>
        <w:rPr>
          <w:rFonts w:ascii="方正仿宋_GBK" w:eastAsia="方正仿宋_GBK" w:hAnsi="仿宋" w:hint="eastAsia"/>
          <w:sz w:val="32"/>
          <w:szCs w:val="32"/>
        </w:rPr>
        <w:t>教育城域专网</w:t>
      </w:r>
      <w:proofErr w:type="gramEnd"/>
      <w:r w:rsidR="001D69C5">
        <w:rPr>
          <w:rFonts w:ascii="方正仿宋_GBK" w:eastAsia="方正仿宋_GBK" w:hAnsi="仿宋" w:hint="eastAsia"/>
          <w:sz w:val="32"/>
          <w:szCs w:val="32"/>
        </w:rPr>
        <w:t>2016升级</w:t>
      </w:r>
      <w:r w:rsidR="00AF5CB0">
        <w:rPr>
          <w:rFonts w:ascii="方正仿宋_GBK" w:eastAsia="方正仿宋_GBK" w:hAnsi="仿宋" w:hint="eastAsia"/>
          <w:sz w:val="32"/>
          <w:szCs w:val="32"/>
        </w:rPr>
        <w:t>改造</w:t>
      </w:r>
      <w:r>
        <w:rPr>
          <w:rFonts w:ascii="方正仿宋_GBK" w:eastAsia="方正仿宋_GBK" w:hAnsi="仿宋" w:hint="eastAsia"/>
          <w:sz w:val="32"/>
          <w:szCs w:val="32"/>
        </w:rPr>
        <w:t>完成，项目包含</w:t>
      </w:r>
      <w:r w:rsidRPr="00DB71FD">
        <w:rPr>
          <w:rFonts w:ascii="方正仿宋_GBK" w:eastAsia="方正仿宋_GBK" w:hAnsi="仿宋" w:hint="eastAsia"/>
          <w:sz w:val="32"/>
          <w:szCs w:val="32"/>
        </w:rPr>
        <w:t>1276个</w:t>
      </w:r>
      <w:r>
        <w:rPr>
          <w:rFonts w:ascii="方正仿宋_GBK" w:eastAsia="方正仿宋_GBK" w:hAnsi="仿宋" w:hint="eastAsia"/>
          <w:sz w:val="32"/>
          <w:szCs w:val="32"/>
        </w:rPr>
        <w:t>单位光纤</w:t>
      </w:r>
      <w:r w:rsidRPr="00DB71FD">
        <w:rPr>
          <w:rFonts w:ascii="方正仿宋_GBK" w:eastAsia="方正仿宋_GBK" w:hAnsi="仿宋" w:hint="eastAsia"/>
          <w:sz w:val="32"/>
          <w:szCs w:val="32"/>
        </w:rPr>
        <w:t>接入</w:t>
      </w:r>
      <w:r>
        <w:rPr>
          <w:rFonts w:ascii="方正仿宋_GBK" w:eastAsia="方正仿宋_GBK" w:hAnsi="仿宋" w:hint="eastAsia"/>
          <w:sz w:val="32"/>
          <w:szCs w:val="32"/>
        </w:rPr>
        <w:t>，截止2月28日，</w:t>
      </w:r>
      <w:r w:rsidR="00AF5CB0">
        <w:rPr>
          <w:rFonts w:ascii="方正仿宋_GBK" w:eastAsia="方正仿宋_GBK" w:hAnsi="仿宋" w:hint="eastAsia"/>
          <w:sz w:val="32"/>
          <w:szCs w:val="32"/>
        </w:rPr>
        <w:t>区（市）县</w:t>
      </w:r>
      <w:r>
        <w:rPr>
          <w:rFonts w:ascii="方正仿宋_GBK" w:eastAsia="方正仿宋_GBK" w:hAnsi="仿宋" w:hint="eastAsia"/>
          <w:sz w:val="32"/>
          <w:szCs w:val="32"/>
        </w:rPr>
        <w:t>新增</w:t>
      </w:r>
      <w:r w:rsidR="001D69C5">
        <w:rPr>
          <w:rFonts w:ascii="方正仿宋_GBK" w:eastAsia="方正仿宋_GBK" w:hAnsi="仿宋" w:hint="eastAsia"/>
          <w:sz w:val="32"/>
          <w:szCs w:val="32"/>
        </w:rPr>
        <w:t>12</w:t>
      </w:r>
      <w:r>
        <w:rPr>
          <w:rFonts w:ascii="方正仿宋_GBK" w:eastAsia="方正仿宋_GBK" w:hAnsi="仿宋" w:hint="eastAsia"/>
          <w:sz w:val="32"/>
          <w:szCs w:val="32"/>
        </w:rPr>
        <w:t>个接入</w:t>
      </w:r>
      <w:r w:rsidR="00246290">
        <w:rPr>
          <w:rFonts w:ascii="方正仿宋_GBK" w:eastAsia="方正仿宋_GBK" w:hAnsi="仿宋" w:hint="eastAsia"/>
          <w:sz w:val="32"/>
          <w:szCs w:val="32"/>
        </w:rPr>
        <w:t>单位</w:t>
      </w:r>
      <w:r>
        <w:rPr>
          <w:rFonts w:ascii="方正仿宋_GBK" w:eastAsia="方正仿宋_GBK" w:hAnsi="仿宋" w:hint="eastAsia"/>
          <w:sz w:val="32"/>
          <w:szCs w:val="32"/>
        </w:rPr>
        <w:t>，</w:t>
      </w:r>
      <w:r w:rsidR="00AF5CB0">
        <w:rPr>
          <w:rFonts w:ascii="方正仿宋_GBK" w:eastAsia="方正仿宋_GBK" w:hAnsi="仿宋" w:hint="eastAsia"/>
          <w:sz w:val="32"/>
          <w:szCs w:val="32"/>
        </w:rPr>
        <w:t>专网</w:t>
      </w:r>
      <w:r w:rsidR="00246290">
        <w:rPr>
          <w:rFonts w:ascii="方正仿宋_GBK" w:eastAsia="方正仿宋_GBK" w:hAnsi="仿宋" w:hint="eastAsia"/>
          <w:sz w:val="32"/>
          <w:szCs w:val="32"/>
        </w:rPr>
        <w:t>覆盖点位</w:t>
      </w:r>
      <w:r w:rsidR="001D69C5">
        <w:rPr>
          <w:rFonts w:ascii="方正仿宋_GBK" w:eastAsia="方正仿宋_GBK" w:hAnsi="仿宋" w:hint="eastAsia"/>
          <w:sz w:val="32"/>
          <w:szCs w:val="32"/>
        </w:rPr>
        <w:t>1288</w:t>
      </w:r>
      <w:r w:rsidR="00AF5CB0">
        <w:rPr>
          <w:rFonts w:ascii="方正仿宋_GBK" w:eastAsia="方正仿宋_GBK" w:hAnsi="仿宋" w:hint="eastAsia"/>
          <w:sz w:val="32"/>
          <w:szCs w:val="32"/>
        </w:rPr>
        <w:t>个</w:t>
      </w:r>
      <w:r w:rsidRPr="00DB71FD">
        <w:rPr>
          <w:rFonts w:ascii="方正仿宋_GBK" w:eastAsia="方正仿宋_GBK" w:hAnsi="仿宋" w:hint="eastAsia"/>
          <w:sz w:val="32"/>
          <w:szCs w:val="32"/>
        </w:rPr>
        <w:t>。</w:t>
      </w:r>
    </w:p>
    <w:p w:rsidR="00EC70F5" w:rsidRPr="00AF5CB0" w:rsidRDefault="00AF5CB0" w:rsidP="00177795">
      <w:pPr>
        <w:ind w:firstLineChars="177" w:firstLine="566"/>
        <w:rPr>
          <w:rFonts w:ascii="方正仿宋_GBK" w:eastAsia="方正仿宋_GBK" w:hAnsi="仿宋"/>
          <w:sz w:val="32"/>
          <w:szCs w:val="32"/>
        </w:rPr>
      </w:pPr>
      <w:r w:rsidRPr="00AF5CB0">
        <w:rPr>
          <w:rFonts w:ascii="方正仿宋_GBK" w:eastAsia="方正仿宋_GBK" w:hAnsi="仿宋" w:hint="eastAsia"/>
          <w:sz w:val="32"/>
          <w:szCs w:val="32"/>
        </w:rPr>
        <w:t>报告时间段：2017年2月1日—2月28日</w:t>
      </w:r>
    </w:p>
    <w:p w:rsidR="0069389D" w:rsidRDefault="0069389D" w:rsidP="008A09F8">
      <w:pPr>
        <w:numPr>
          <w:ilvl w:val="0"/>
          <w:numId w:val="4"/>
        </w:numPr>
        <w:rPr>
          <w:rFonts w:ascii="黑体" w:eastAsia="黑体" w:hAnsi="黑体"/>
          <w:sz w:val="28"/>
        </w:rPr>
      </w:pPr>
      <w:r w:rsidRPr="0069389D">
        <w:rPr>
          <w:rFonts w:ascii="黑体" w:eastAsia="黑体" w:hAnsi="黑体" w:hint="eastAsia"/>
          <w:sz w:val="28"/>
        </w:rPr>
        <w:t>专网</w:t>
      </w:r>
      <w:r w:rsidR="00177795">
        <w:rPr>
          <w:rFonts w:ascii="黑体" w:eastAsia="黑体" w:hAnsi="黑体" w:hint="eastAsia"/>
          <w:sz w:val="28"/>
        </w:rPr>
        <w:t>应</w:t>
      </w:r>
      <w:r w:rsidRPr="0069389D">
        <w:rPr>
          <w:rFonts w:ascii="黑体" w:eastAsia="黑体" w:hAnsi="黑体" w:hint="eastAsia"/>
          <w:sz w:val="28"/>
        </w:rPr>
        <w:t>用情况</w:t>
      </w:r>
    </w:p>
    <w:p w:rsidR="0069389D" w:rsidRDefault="00177795" w:rsidP="0069389D">
      <w:pPr>
        <w:ind w:left="567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(</w:t>
      </w:r>
      <w:proofErr w:type="gramStart"/>
      <w:r>
        <w:rPr>
          <w:rFonts w:ascii="黑体" w:eastAsia="黑体" w:hAnsi="黑体" w:hint="eastAsia"/>
          <w:sz w:val="28"/>
        </w:rPr>
        <w:t>一</w:t>
      </w:r>
      <w:proofErr w:type="gramEnd"/>
      <w:r>
        <w:rPr>
          <w:rFonts w:ascii="黑体" w:eastAsia="黑体" w:hAnsi="黑体" w:hint="eastAsia"/>
          <w:sz w:val="28"/>
        </w:rPr>
        <w:t>)</w:t>
      </w:r>
      <w:r w:rsidR="004F1B19">
        <w:rPr>
          <w:rFonts w:ascii="黑体" w:eastAsia="黑体" w:hAnsi="黑体" w:hint="eastAsia"/>
          <w:sz w:val="28"/>
        </w:rPr>
        <w:t>区（市）县</w:t>
      </w:r>
      <w:r w:rsidR="002D2A89">
        <w:rPr>
          <w:rFonts w:ascii="黑体" w:eastAsia="黑体" w:hAnsi="黑体" w:hint="eastAsia"/>
          <w:sz w:val="28"/>
        </w:rPr>
        <w:t>申报</w:t>
      </w:r>
      <w:r w:rsidR="004F1B19">
        <w:rPr>
          <w:rFonts w:ascii="黑体" w:eastAsia="黑体" w:hAnsi="黑体" w:hint="eastAsia"/>
          <w:sz w:val="28"/>
        </w:rPr>
        <w:t>基础</w:t>
      </w:r>
      <w:r w:rsidRPr="00177795">
        <w:rPr>
          <w:rFonts w:ascii="黑体" w:eastAsia="黑体" w:hAnsi="黑体" w:hint="eastAsia"/>
          <w:sz w:val="28"/>
        </w:rPr>
        <w:t>流量</w:t>
      </w:r>
    </w:p>
    <w:p w:rsidR="00177795" w:rsidRDefault="008A7580" w:rsidP="008A7580">
      <w:pPr>
        <w:ind w:left="-709" w:firstLine="709"/>
        <w:rPr>
          <w:rFonts w:ascii="黑体" w:eastAsia="黑体" w:hAnsi="黑体"/>
          <w:sz w:val="28"/>
        </w:rPr>
      </w:pPr>
      <w:r w:rsidRPr="008A7580">
        <w:rPr>
          <w:rFonts w:ascii="黑体" w:eastAsia="黑体" w:hAnsi="黑体"/>
          <w:noProof/>
          <w:sz w:val="28"/>
        </w:rPr>
        <w:drawing>
          <wp:inline distT="0" distB="0" distL="0" distR="0">
            <wp:extent cx="5278120" cy="4021605"/>
            <wp:effectExtent l="19050" t="0" r="1778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7795" w:rsidRDefault="00177795" w:rsidP="0069389D">
      <w:pPr>
        <w:ind w:left="567"/>
        <w:rPr>
          <w:rFonts w:ascii="黑体" w:eastAsia="黑体" w:hAnsi="黑体"/>
          <w:sz w:val="28"/>
        </w:rPr>
      </w:pPr>
    </w:p>
    <w:p w:rsidR="00826CC8" w:rsidRDefault="00826CC8" w:rsidP="0069389D">
      <w:pPr>
        <w:ind w:left="567"/>
        <w:rPr>
          <w:rFonts w:ascii="黑体" w:eastAsia="黑体" w:hAnsi="黑体"/>
          <w:sz w:val="28"/>
        </w:rPr>
      </w:pPr>
    </w:p>
    <w:p w:rsidR="008A09F8" w:rsidRDefault="008A09F8" w:rsidP="00177795">
      <w:pPr>
        <w:ind w:left="567"/>
        <w:rPr>
          <w:rFonts w:ascii="黑体" w:eastAsia="黑体" w:hAnsi="黑体"/>
          <w:sz w:val="28"/>
        </w:rPr>
      </w:pPr>
    </w:p>
    <w:p w:rsidR="008A7580" w:rsidRDefault="008A7580" w:rsidP="00177795">
      <w:pPr>
        <w:ind w:left="567"/>
        <w:rPr>
          <w:rFonts w:ascii="黑体" w:eastAsia="黑体" w:hAnsi="黑体"/>
          <w:sz w:val="28"/>
        </w:rPr>
      </w:pPr>
    </w:p>
    <w:p w:rsidR="008A7580" w:rsidRDefault="008A7580" w:rsidP="00177795">
      <w:pPr>
        <w:ind w:left="567"/>
        <w:rPr>
          <w:rFonts w:ascii="黑体" w:eastAsia="黑体" w:hAnsi="黑体"/>
          <w:sz w:val="28"/>
        </w:rPr>
      </w:pPr>
    </w:p>
    <w:p w:rsidR="008A7580" w:rsidRDefault="008A7580" w:rsidP="00177795">
      <w:pPr>
        <w:ind w:left="567"/>
        <w:rPr>
          <w:rFonts w:ascii="黑体" w:eastAsia="黑体" w:hAnsi="黑体"/>
          <w:sz w:val="28"/>
        </w:rPr>
      </w:pPr>
    </w:p>
    <w:p w:rsidR="00177795" w:rsidRDefault="00177795" w:rsidP="00177795">
      <w:pPr>
        <w:ind w:left="567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(二)</w:t>
      </w:r>
      <w:r w:rsidRPr="00177795">
        <w:rPr>
          <w:rFonts w:ascii="黑体" w:eastAsia="黑体" w:hAnsi="黑体" w:hint="eastAsia"/>
          <w:sz w:val="28"/>
        </w:rPr>
        <w:t>流量使用情况</w:t>
      </w:r>
    </w:p>
    <w:p w:rsidR="008A09F8" w:rsidRDefault="008A09F8" w:rsidP="00177795">
      <w:pPr>
        <w:ind w:left="567"/>
        <w:rPr>
          <w:rFonts w:ascii="黑体" w:eastAsia="黑体" w:hAnsi="黑体"/>
          <w:sz w:val="28"/>
        </w:rPr>
      </w:pPr>
    </w:p>
    <w:p w:rsidR="00A0439C" w:rsidRPr="00552911" w:rsidRDefault="002E56C3">
      <w:pPr>
        <w:widowControl/>
        <w:jc w:val="left"/>
        <w:rPr>
          <w:rFonts w:ascii="黑体" w:eastAsia="黑体" w:hAnsi="黑体"/>
          <w:szCs w:val="21"/>
        </w:rPr>
      </w:pPr>
      <w:r w:rsidRPr="00552911">
        <w:rPr>
          <w:rFonts w:ascii="黑体" w:eastAsia="黑体" w:hAnsi="黑体"/>
          <w:noProof/>
          <w:szCs w:val="21"/>
        </w:rPr>
        <w:drawing>
          <wp:inline distT="0" distB="0" distL="0" distR="0">
            <wp:extent cx="5060341" cy="5316772"/>
            <wp:effectExtent l="19050" t="0" r="26009" b="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7580" w:rsidRPr="00552911" w:rsidRDefault="00552911">
      <w:pPr>
        <w:widowControl/>
        <w:jc w:val="left"/>
        <w:rPr>
          <w:rFonts w:ascii="黑体" w:eastAsia="黑体" w:hAnsi="黑体"/>
          <w:sz w:val="18"/>
          <w:szCs w:val="18"/>
        </w:rPr>
      </w:pPr>
      <w:r w:rsidRPr="00552911">
        <w:rPr>
          <w:rFonts w:ascii="黑体" w:eastAsia="黑体" w:hAnsi="黑体" w:hint="eastAsia"/>
          <w:sz w:val="18"/>
          <w:szCs w:val="18"/>
        </w:rPr>
        <w:t>备注：根据</w:t>
      </w:r>
      <w:proofErr w:type="gramStart"/>
      <w:r w:rsidRPr="00552911">
        <w:rPr>
          <w:rFonts w:ascii="黑体" w:eastAsia="黑体" w:hAnsi="黑体" w:hint="eastAsia"/>
          <w:sz w:val="18"/>
          <w:szCs w:val="18"/>
        </w:rPr>
        <w:t>流控设备</w:t>
      </w:r>
      <w:proofErr w:type="gramEnd"/>
      <w:r w:rsidRPr="00552911">
        <w:rPr>
          <w:rFonts w:ascii="黑体" w:eastAsia="黑体" w:hAnsi="黑体" w:hint="eastAsia"/>
          <w:sz w:val="18"/>
          <w:szCs w:val="18"/>
        </w:rPr>
        <w:t>采集30天共计流量</w:t>
      </w:r>
    </w:p>
    <w:p w:rsidR="00552911" w:rsidRDefault="00552911">
      <w:pPr>
        <w:widowControl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p w:rsidR="00177795" w:rsidRDefault="00A0439C" w:rsidP="00177795">
      <w:pPr>
        <w:ind w:left="567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 xml:space="preserve"> </w:t>
      </w:r>
      <w:r w:rsidR="00177795">
        <w:rPr>
          <w:rFonts w:ascii="黑体" w:eastAsia="黑体" w:hAnsi="黑体" w:hint="eastAsia"/>
          <w:sz w:val="28"/>
        </w:rPr>
        <w:t>(</w:t>
      </w:r>
      <w:r w:rsidR="00177795" w:rsidRPr="00177795">
        <w:rPr>
          <w:rFonts w:ascii="黑体" w:eastAsia="黑体" w:hAnsi="黑体" w:hint="eastAsia"/>
          <w:sz w:val="28"/>
        </w:rPr>
        <w:t>三</w:t>
      </w:r>
      <w:r w:rsidR="00177795">
        <w:rPr>
          <w:rFonts w:ascii="黑体" w:eastAsia="黑体" w:hAnsi="黑体" w:hint="eastAsia"/>
          <w:sz w:val="28"/>
        </w:rPr>
        <w:t>)</w:t>
      </w:r>
      <w:r w:rsidR="00177795" w:rsidRPr="00177795">
        <w:rPr>
          <w:rFonts w:ascii="黑体" w:eastAsia="黑体" w:hAnsi="黑体" w:hint="eastAsia"/>
          <w:sz w:val="28"/>
        </w:rPr>
        <w:t>流量利用率</w:t>
      </w:r>
    </w:p>
    <w:p w:rsidR="00523577" w:rsidRDefault="002E56C3" w:rsidP="00523577">
      <w:pPr>
        <w:rPr>
          <w:rFonts w:ascii="黑体" w:eastAsia="黑体" w:hAnsi="黑体"/>
          <w:sz w:val="28"/>
        </w:rPr>
      </w:pPr>
      <w:r w:rsidRPr="002E56C3">
        <w:rPr>
          <w:rFonts w:ascii="黑体" w:eastAsia="黑体" w:hAnsi="黑体"/>
          <w:noProof/>
          <w:sz w:val="28"/>
        </w:rPr>
        <w:drawing>
          <wp:inline distT="0" distB="0" distL="0" distR="0">
            <wp:extent cx="5278120" cy="3594014"/>
            <wp:effectExtent l="19050" t="0" r="17780" b="6436"/>
            <wp:docPr id="6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E56C3" w:rsidRPr="00552911" w:rsidRDefault="00552911" w:rsidP="00523577">
      <w:pPr>
        <w:rPr>
          <w:rFonts w:ascii="黑体" w:eastAsia="黑体" w:hAnsi="黑体"/>
          <w:sz w:val="15"/>
          <w:szCs w:val="15"/>
        </w:rPr>
      </w:pPr>
      <w:r w:rsidRPr="00552911">
        <w:rPr>
          <w:rFonts w:ascii="黑体" w:eastAsia="黑体" w:hAnsi="黑体" w:hint="eastAsia"/>
          <w:sz w:val="15"/>
          <w:szCs w:val="15"/>
        </w:rPr>
        <w:t>备注</w:t>
      </w:r>
      <w:r>
        <w:rPr>
          <w:rFonts w:ascii="黑体" w:eastAsia="黑体" w:hAnsi="黑体" w:hint="eastAsia"/>
          <w:sz w:val="15"/>
          <w:szCs w:val="15"/>
        </w:rPr>
        <w:t>：日平均流量=每月每个工作日峰值流量相加/工作日天数*70%</w:t>
      </w:r>
    </w:p>
    <w:p w:rsidR="002E56C3" w:rsidRDefault="002E56C3" w:rsidP="00523577">
      <w:pPr>
        <w:rPr>
          <w:rFonts w:ascii="黑体" w:eastAsia="黑体" w:hAnsi="黑体"/>
          <w:sz w:val="28"/>
        </w:rPr>
      </w:pPr>
      <w:r w:rsidRPr="002E56C3">
        <w:rPr>
          <w:rFonts w:ascii="黑体" w:eastAsia="黑体" w:hAnsi="黑体"/>
          <w:noProof/>
          <w:sz w:val="28"/>
        </w:rPr>
        <w:drawing>
          <wp:inline distT="0" distB="0" distL="0" distR="0">
            <wp:extent cx="5278120" cy="3594014"/>
            <wp:effectExtent l="19050" t="0" r="17780" b="6436"/>
            <wp:docPr id="7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52911" w:rsidRPr="00552911" w:rsidRDefault="00552911" w:rsidP="00552911">
      <w:pPr>
        <w:rPr>
          <w:rFonts w:ascii="黑体" w:eastAsia="黑体" w:hAnsi="黑体"/>
          <w:sz w:val="15"/>
          <w:szCs w:val="15"/>
        </w:rPr>
      </w:pPr>
      <w:bookmarkStart w:id="0" w:name="_GoBack"/>
      <w:bookmarkEnd w:id="0"/>
      <w:r w:rsidRPr="00552911">
        <w:rPr>
          <w:rFonts w:ascii="黑体" w:eastAsia="黑体" w:hAnsi="黑体" w:hint="eastAsia"/>
          <w:sz w:val="15"/>
          <w:szCs w:val="15"/>
        </w:rPr>
        <w:t>备注</w:t>
      </w:r>
      <w:r>
        <w:rPr>
          <w:rFonts w:ascii="黑体" w:eastAsia="黑体" w:hAnsi="黑体" w:hint="eastAsia"/>
          <w:sz w:val="15"/>
          <w:szCs w:val="15"/>
        </w:rPr>
        <w:t>：日平均流量占比=日平均流量/</w:t>
      </w:r>
      <w:r w:rsidR="00246D93">
        <w:rPr>
          <w:rFonts w:ascii="黑体" w:eastAsia="黑体" w:hAnsi="黑体" w:hint="eastAsia"/>
          <w:sz w:val="15"/>
          <w:szCs w:val="15"/>
        </w:rPr>
        <w:t>申报</w:t>
      </w:r>
      <w:r>
        <w:rPr>
          <w:rFonts w:ascii="黑体" w:eastAsia="黑体" w:hAnsi="黑体" w:hint="eastAsia"/>
          <w:sz w:val="15"/>
          <w:szCs w:val="15"/>
        </w:rPr>
        <w:t>基础流量</w:t>
      </w:r>
    </w:p>
    <w:p w:rsidR="00552911" w:rsidRPr="00552911" w:rsidRDefault="00552911" w:rsidP="008A7580">
      <w:pPr>
        <w:rPr>
          <w:rFonts w:ascii="黑体" w:eastAsia="黑体" w:hAnsi="黑体"/>
          <w:sz w:val="28"/>
        </w:rPr>
      </w:pPr>
    </w:p>
    <w:p w:rsidR="00552911" w:rsidRDefault="00552911" w:rsidP="008A7580">
      <w:pPr>
        <w:rPr>
          <w:rFonts w:ascii="黑体" w:eastAsia="黑体" w:hAnsi="黑体"/>
          <w:sz w:val="28"/>
        </w:rPr>
      </w:pPr>
    </w:p>
    <w:p w:rsidR="00177795" w:rsidRDefault="00177795" w:rsidP="008A7580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</w:t>
      </w:r>
      <w:r w:rsidRPr="00177795">
        <w:rPr>
          <w:rFonts w:ascii="黑体" w:eastAsia="黑体" w:hAnsi="黑体" w:hint="eastAsia"/>
          <w:sz w:val="28"/>
        </w:rPr>
        <w:t>、</w:t>
      </w:r>
      <w:r w:rsidR="003417C8" w:rsidRPr="003417C8">
        <w:rPr>
          <w:rFonts w:ascii="黑体" w:eastAsia="黑体" w:hAnsi="黑体" w:hint="eastAsia"/>
          <w:sz w:val="28"/>
        </w:rPr>
        <w:t>市、县两级网络中心核心组网设备运行状况</w:t>
      </w:r>
    </w:p>
    <w:p w:rsidR="003417C8" w:rsidRPr="003417C8" w:rsidRDefault="003417C8" w:rsidP="00177795">
      <w:pPr>
        <w:ind w:left="567"/>
        <w:rPr>
          <w:rFonts w:ascii="黑体" w:eastAsia="黑体" w:hAnsi="黑体"/>
          <w:sz w:val="28"/>
        </w:rPr>
      </w:pPr>
    </w:p>
    <w:tbl>
      <w:tblPr>
        <w:tblpPr w:leftFromText="180" w:rightFromText="180" w:vertAnchor="text" w:horzAnchor="margin" w:tblpXSpec="right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94"/>
        <w:gridCol w:w="1134"/>
        <w:gridCol w:w="1276"/>
        <w:gridCol w:w="992"/>
        <w:gridCol w:w="1105"/>
      </w:tblGrid>
      <w:tr w:rsidR="003417C8" w:rsidTr="006A6A76">
        <w:trPr>
          <w:trHeight w:val="841"/>
        </w:trPr>
        <w:tc>
          <w:tcPr>
            <w:tcW w:w="534" w:type="dxa"/>
            <w:vAlign w:val="center"/>
          </w:tcPr>
          <w:p w:rsidR="003417C8" w:rsidRDefault="003417C8" w:rsidP="006A6A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294" w:type="dxa"/>
            <w:vAlign w:val="center"/>
          </w:tcPr>
          <w:p w:rsidR="003417C8" w:rsidRDefault="003417C8" w:rsidP="006A6A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设备型号</w:t>
            </w:r>
          </w:p>
        </w:tc>
        <w:tc>
          <w:tcPr>
            <w:tcW w:w="1134" w:type="dxa"/>
            <w:vAlign w:val="center"/>
          </w:tcPr>
          <w:p w:rsidR="003417C8" w:rsidRDefault="003417C8" w:rsidP="006A6A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硬件运行情况</w:t>
            </w:r>
          </w:p>
        </w:tc>
        <w:tc>
          <w:tcPr>
            <w:tcW w:w="1276" w:type="dxa"/>
            <w:vAlign w:val="center"/>
          </w:tcPr>
          <w:p w:rsidR="003417C8" w:rsidRDefault="003417C8" w:rsidP="006A6A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软件运行情况</w:t>
            </w:r>
          </w:p>
        </w:tc>
        <w:tc>
          <w:tcPr>
            <w:tcW w:w="992" w:type="dxa"/>
            <w:vAlign w:val="center"/>
          </w:tcPr>
          <w:p w:rsidR="003417C8" w:rsidRDefault="003417C8" w:rsidP="006A6A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故障原因分析</w:t>
            </w:r>
          </w:p>
        </w:tc>
        <w:tc>
          <w:tcPr>
            <w:tcW w:w="1105" w:type="dxa"/>
            <w:vAlign w:val="center"/>
          </w:tcPr>
          <w:p w:rsidR="003417C8" w:rsidRDefault="003417C8" w:rsidP="006A6A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备注</w:t>
            </w:r>
          </w:p>
        </w:tc>
      </w:tr>
      <w:tr w:rsidR="003417C8" w:rsidTr="006A6A76">
        <w:tc>
          <w:tcPr>
            <w:tcW w:w="534" w:type="dxa"/>
            <w:vAlign w:val="center"/>
          </w:tcPr>
          <w:p w:rsidR="003417C8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>
              <w:rPr>
                <w:rFonts w:ascii="楷体_GB2312" w:eastAsia="楷体_GB2312" w:hAnsi="宋体" w:hint="eastAsia"/>
                <w:iCs/>
                <w:sz w:val="28"/>
              </w:rPr>
              <w:t>1</w:t>
            </w:r>
          </w:p>
        </w:tc>
        <w:tc>
          <w:tcPr>
            <w:tcW w:w="329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8"/>
              </w:rPr>
              <w:t>核心出口路由器</w:t>
            </w:r>
          </w:p>
        </w:tc>
        <w:tc>
          <w:tcPr>
            <w:tcW w:w="113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4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1276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992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  <w:tc>
          <w:tcPr>
            <w:tcW w:w="1105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</w:tr>
      <w:tr w:rsidR="003417C8" w:rsidTr="006A6A76">
        <w:tc>
          <w:tcPr>
            <w:tcW w:w="534" w:type="dxa"/>
            <w:vAlign w:val="center"/>
          </w:tcPr>
          <w:p w:rsidR="003417C8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>
              <w:rPr>
                <w:rFonts w:ascii="楷体_GB2312" w:eastAsia="楷体_GB2312" w:hAnsi="宋体" w:hint="eastAsia"/>
                <w:iCs/>
                <w:sz w:val="28"/>
              </w:rPr>
              <w:t>2</w:t>
            </w:r>
          </w:p>
        </w:tc>
        <w:tc>
          <w:tcPr>
            <w:tcW w:w="329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8"/>
              </w:rPr>
              <w:t>核心交换机</w:t>
            </w:r>
          </w:p>
        </w:tc>
        <w:tc>
          <w:tcPr>
            <w:tcW w:w="113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1276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992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  <w:tc>
          <w:tcPr>
            <w:tcW w:w="1105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</w:tr>
      <w:tr w:rsidR="003417C8" w:rsidTr="006A6A76">
        <w:tc>
          <w:tcPr>
            <w:tcW w:w="534" w:type="dxa"/>
            <w:vAlign w:val="center"/>
          </w:tcPr>
          <w:p w:rsidR="003417C8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>
              <w:rPr>
                <w:rFonts w:ascii="楷体_GB2312" w:eastAsia="楷体_GB2312" w:hAnsi="宋体" w:hint="eastAsia"/>
                <w:iCs/>
                <w:sz w:val="28"/>
              </w:rPr>
              <w:t>3</w:t>
            </w:r>
          </w:p>
        </w:tc>
        <w:tc>
          <w:tcPr>
            <w:tcW w:w="329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8"/>
              </w:rPr>
              <w:t>校级接入路由器</w:t>
            </w:r>
          </w:p>
        </w:tc>
        <w:tc>
          <w:tcPr>
            <w:tcW w:w="113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1276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992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  <w:tc>
          <w:tcPr>
            <w:tcW w:w="1105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</w:tr>
      <w:tr w:rsidR="003417C8" w:rsidTr="006A6A76">
        <w:tc>
          <w:tcPr>
            <w:tcW w:w="534" w:type="dxa"/>
            <w:vAlign w:val="center"/>
          </w:tcPr>
          <w:p w:rsidR="003417C8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>
              <w:rPr>
                <w:rFonts w:ascii="楷体_GB2312" w:eastAsia="楷体_GB2312" w:hAnsi="宋体" w:hint="eastAsia"/>
                <w:iCs/>
                <w:sz w:val="28"/>
              </w:rPr>
              <w:t>4</w:t>
            </w:r>
          </w:p>
        </w:tc>
        <w:tc>
          <w:tcPr>
            <w:tcW w:w="329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8"/>
              </w:rPr>
              <w:t>网络运维监控平台</w:t>
            </w:r>
          </w:p>
        </w:tc>
        <w:tc>
          <w:tcPr>
            <w:tcW w:w="113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1276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992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  <w:tc>
          <w:tcPr>
            <w:tcW w:w="1105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</w:tr>
      <w:tr w:rsidR="003417C8" w:rsidTr="006A6A76">
        <w:tc>
          <w:tcPr>
            <w:tcW w:w="534" w:type="dxa"/>
            <w:vAlign w:val="center"/>
          </w:tcPr>
          <w:p w:rsidR="003417C8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>
              <w:rPr>
                <w:rFonts w:ascii="楷体_GB2312" w:eastAsia="楷体_GB2312" w:hAnsi="宋体" w:hint="eastAsia"/>
                <w:iCs/>
                <w:sz w:val="28"/>
              </w:rPr>
              <w:t>5</w:t>
            </w:r>
          </w:p>
        </w:tc>
        <w:tc>
          <w:tcPr>
            <w:tcW w:w="329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8"/>
              </w:rPr>
              <w:t>网络防火墙</w:t>
            </w:r>
          </w:p>
        </w:tc>
        <w:tc>
          <w:tcPr>
            <w:tcW w:w="113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1276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992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  <w:tc>
          <w:tcPr>
            <w:tcW w:w="1105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</w:tr>
      <w:tr w:rsidR="003417C8" w:rsidTr="006A6A76">
        <w:tc>
          <w:tcPr>
            <w:tcW w:w="534" w:type="dxa"/>
            <w:vAlign w:val="center"/>
          </w:tcPr>
          <w:p w:rsidR="003417C8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>
              <w:rPr>
                <w:rFonts w:ascii="楷体_GB2312" w:eastAsia="楷体_GB2312" w:hAnsi="宋体" w:hint="eastAsia"/>
                <w:iCs/>
                <w:sz w:val="28"/>
              </w:rPr>
              <w:t>6</w:t>
            </w:r>
          </w:p>
        </w:tc>
        <w:tc>
          <w:tcPr>
            <w:tcW w:w="329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proofErr w:type="gramStart"/>
            <w:r w:rsidRPr="00643370">
              <w:rPr>
                <w:rFonts w:ascii="楷体_GB2312" w:eastAsia="楷体_GB2312" w:hAnsi="宋体" w:hint="eastAsia"/>
                <w:iCs/>
                <w:sz w:val="28"/>
              </w:rPr>
              <w:t>出口流控</w:t>
            </w:r>
            <w:proofErr w:type="gramEnd"/>
          </w:p>
        </w:tc>
        <w:tc>
          <w:tcPr>
            <w:tcW w:w="113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1276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992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  <w:tc>
          <w:tcPr>
            <w:tcW w:w="1105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</w:tr>
      <w:tr w:rsidR="003417C8" w:rsidTr="006A6A76">
        <w:tc>
          <w:tcPr>
            <w:tcW w:w="534" w:type="dxa"/>
            <w:vAlign w:val="center"/>
          </w:tcPr>
          <w:p w:rsidR="003417C8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>
              <w:rPr>
                <w:rFonts w:ascii="楷体_GB2312" w:eastAsia="楷体_GB2312" w:hAnsi="宋体" w:hint="eastAsia"/>
                <w:iCs/>
                <w:sz w:val="28"/>
              </w:rPr>
              <w:t>7</w:t>
            </w:r>
          </w:p>
        </w:tc>
        <w:tc>
          <w:tcPr>
            <w:tcW w:w="329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8"/>
              </w:rPr>
              <w:t>入侵防御</w:t>
            </w:r>
          </w:p>
        </w:tc>
        <w:tc>
          <w:tcPr>
            <w:tcW w:w="113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1276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992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  <w:tc>
          <w:tcPr>
            <w:tcW w:w="1105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</w:tr>
      <w:tr w:rsidR="003417C8" w:rsidTr="006A6A76">
        <w:tc>
          <w:tcPr>
            <w:tcW w:w="534" w:type="dxa"/>
            <w:vAlign w:val="center"/>
          </w:tcPr>
          <w:p w:rsidR="003417C8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>
              <w:rPr>
                <w:rFonts w:ascii="楷体_GB2312" w:eastAsia="楷体_GB2312" w:hAnsi="宋体" w:hint="eastAsia"/>
                <w:iCs/>
                <w:sz w:val="28"/>
              </w:rPr>
              <w:t>8</w:t>
            </w:r>
          </w:p>
        </w:tc>
        <w:tc>
          <w:tcPr>
            <w:tcW w:w="329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8"/>
              </w:rPr>
              <w:t>IPV4/IPV6应用迁移平台</w:t>
            </w:r>
          </w:p>
        </w:tc>
        <w:tc>
          <w:tcPr>
            <w:tcW w:w="113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1276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992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  <w:tc>
          <w:tcPr>
            <w:tcW w:w="1105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</w:tr>
      <w:tr w:rsidR="003417C8" w:rsidTr="006A6A76">
        <w:tc>
          <w:tcPr>
            <w:tcW w:w="534" w:type="dxa"/>
            <w:vAlign w:val="center"/>
          </w:tcPr>
          <w:p w:rsidR="003417C8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>
              <w:rPr>
                <w:rFonts w:ascii="楷体_GB2312" w:eastAsia="楷体_GB2312" w:hAnsi="宋体" w:hint="eastAsia"/>
                <w:iCs/>
                <w:sz w:val="28"/>
              </w:rPr>
              <w:t>9</w:t>
            </w:r>
          </w:p>
        </w:tc>
        <w:tc>
          <w:tcPr>
            <w:tcW w:w="329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8"/>
              </w:rPr>
              <w:t>行为应用审计</w:t>
            </w:r>
            <w:r>
              <w:rPr>
                <w:rFonts w:ascii="楷体_GB2312" w:eastAsia="楷体_GB2312" w:hAnsi="宋体" w:hint="eastAsia"/>
                <w:iCs/>
                <w:sz w:val="28"/>
              </w:rPr>
              <w:t>系统</w:t>
            </w:r>
          </w:p>
        </w:tc>
        <w:tc>
          <w:tcPr>
            <w:tcW w:w="113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1276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992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  <w:tc>
          <w:tcPr>
            <w:tcW w:w="1105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</w:tr>
      <w:tr w:rsidR="003417C8" w:rsidTr="006A6A76">
        <w:tc>
          <w:tcPr>
            <w:tcW w:w="534" w:type="dxa"/>
            <w:vAlign w:val="center"/>
          </w:tcPr>
          <w:p w:rsidR="003417C8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>
              <w:rPr>
                <w:rFonts w:ascii="楷体_GB2312" w:eastAsia="楷体_GB2312" w:hAnsi="宋体" w:hint="eastAsia"/>
                <w:iCs/>
                <w:sz w:val="28"/>
              </w:rPr>
              <w:t>10</w:t>
            </w:r>
          </w:p>
        </w:tc>
        <w:tc>
          <w:tcPr>
            <w:tcW w:w="329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8"/>
              </w:rPr>
              <w:t>网上直播系统</w:t>
            </w:r>
          </w:p>
        </w:tc>
        <w:tc>
          <w:tcPr>
            <w:tcW w:w="113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1276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992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  <w:tc>
          <w:tcPr>
            <w:tcW w:w="1105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</w:tr>
      <w:tr w:rsidR="003417C8" w:rsidTr="006A6A76">
        <w:tc>
          <w:tcPr>
            <w:tcW w:w="534" w:type="dxa"/>
            <w:vAlign w:val="center"/>
          </w:tcPr>
          <w:p w:rsidR="003417C8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>
              <w:rPr>
                <w:rFonts w:ascii="楷体_GB2312" w:eastAsia="楷体_GB2312" w:hAnsi="宋体" w:hint="eastAsia"/>
                <w:iCs/>
                <w:sz w:val="28"/>
              </w:rPr>
              <w:t>11</w:t>
            </w:r>
          </w:p>
        </w:tc>
        <w:tc>
          <w:tcPr>
            <w:tcW w:w="329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8"/>
              </w:rPr>
              <w:t>视频会议MCU系统</w:t>
            </w:r>
          </w:p>
        </w:tc>
        <w:tc>
          <w:tcPr>
            <w:tcW w:w="1134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1276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  <w:r w:rsidRPr="00643370">
              <w:rPr>
                <w:rFonts w:ascii="楷体_GB2312" w:eastAsia="楷体_GB2312" w:hAnsi="宋体" w:hint="eastAsia"/>
                <w:iCs/>
                <w:sz w:val="24"/>
              </w:rPr>
              <w:t>正常</w:t>
            </w:r>
          </w:p>
        </w:tc>
        <w:tc>
          <w:tcPr>
            <w:tcW w:w="992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  <w:tc>
          <w:tcPr>
            <w:tcW w:w="1105" w:type="dxa"/>
            <w:vAlign w:val="center"/>
          </w:tcPr>
          <w:p w:rsidR="003417C8" w:rsidRPr="00643370" w:rsidRDefault="003417C8" w:rsidP="006A6A76">
            <w:pPr>
              <w:jc w:val="center"/>
              <w:rPr>
                <w:rFonts w:ascii="楷体_GB2312" w:eastAsia="楷体_GB2312" w:hAnsi="宋体"/>
                <w:iCs/>
                <w:sz w:val="28"/>
              </w:rPr>
            </w:pPr>
          </w:p>
        </w:tc>
      </w:tr>
    </w:tbl>
    <w:p w:rsidR="003417C8" w:rsidRDefault="003417C8" w:rsidP="00177795">
      <w:pPr>
        <w:ind w:left="567"/>
        <w:rPr>
          <w:rFonts w:ascii="黑体" w:eastAsia="黑体" w:hAnsi="黑体"/>
          <w:sz w:val="28"/>
        </w:rPr>
      </w:pPr>
    </w:p>
    <w:p w:rsidR="00826CC8" w:rsidRPr="00177795" w:rsidRDefault="00A0439C" w:rsidP="008A7580">
      <w:pPr>
        <w:widowControl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p w:rsidR="00177795" w:rsidRDefault="00177795" w:rsidP="00177795">
      <w:pPr>
        <w:ind w:left="567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三</w:t>
      </w:r>
      <w:r w:rsidRPr="00177795">
        <w:rPr>
          <w:rFonts w:ascii="黑体" w:eastAsia="黑体" w:hAnsi="黑体" w:hint="eastAsia"/>
          <w:sz w:val="28"/>
        </w:rPr>
        <w:t>、</w:t>
      </w:r>
      <w:r w:rsidR="00052813">
        <w:rPr>
          <w:rFonts w:ascii="黑体" w:eastAsia="黑体" w:hAnsi="黑体" w:hint="eastAsia"/>
          <w:sz w:val="28"/>
        </w:rPr>
        <w:t>专网</w:t>
      </w:r>
      <w:r w:rsidRPr="00177795">
        <w:rPr>
          <w:rFonts w:ascii="黑体" w:eastAsia="黑体" w:hAnsi="黑体" w:hint="eastAsia"/>
          <w:sz w:val="28"/>
        </w:rPr>
        <w:t>故障报修记录</w:t>
      </w:r>
    </w:p>
    <w:tbl>
      <w:tblPr>
        <w:tblW w:w="8647" w:type="dxa"/>
        <w:tblInd w:w="108" w:type="dxa"/>
        <w:tblLook w:val="04A0"/>
      </w:tblPr>
      <w:tblGrid>
        <w:gridCol w:w="603"/>
        <w:gridCol w:w="1240"/>
        <w:gridCol w:w="1134"/>
        <w:gridCol w:w="1134"/>
        <w:gridCol w:w="2693"/>
        <w:gridCol w:w="1843"/>
      </w:tblGrid>
      <w:tr w:rsidR="003417C8" w:rsidRPr="00144D63" w:rsidTr="00052813">
        <w:trPr>
          <w:trHeight w:val="28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区县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故障单位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故障次数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故障现象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处理情况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市直属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视频会议或光路故障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大邑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学校停电或光路故障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学校停电或光路故障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成华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崇州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学校停电或光路故障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都江堰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学校停电或光路故障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高新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学校更改配置或光路故障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金牛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配置问题或光路故障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金堂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学校停电或光路故障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锦江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硬件故障或光路故障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龙泉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内网故障或光路故障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彭州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学校停电或光路故障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蒲江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网络问题或光路故障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proofErr w:type="gramStart"/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青白江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学校停电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青羊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网络问题或光路故障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邛崃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学校停电或光路故障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双流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内网故障或光路故障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天府新区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配置问题或光路故障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温江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学校停电或光路故障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武侯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内网故障或光路故障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内网故障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已按时处理</w:t>
            </w:r>
          </w:p>
        </w:tc>
      </w:tr>
      <w:tr w:rsidR="003417C8" w:rsidRPr="00144D63" w:rsidTr="00052813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8" w:rsidRPr="00144D63" w:rsidRDefault="003417C8" w:rsidP="006A6A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44D6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417C8" w:rsidRPr="00177795" w:rsidRDefault="003417C8" w:rsidP="00177795">
      <w:pPr>
        <w:ind w:left="567"/>
        <w:rPr>
          <w:rFonts w:ascii="黑体" w:eastAsia="黑体" w:hAnsi="黑体"/>
          <w:sz w:val="28"/>
        </w:rPr>
      </w:pPr>
    </w:p>
    <w:p w:rsidR="00177795" w:rsidRPr="00177795" w:rsidRDefault="00177795" w:rsidP="00177795">
      <w:pPr>
        <w:ind w:left="567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</w:t>
      </w:r>
      <w:r w:rsidRPr="00177795">
        <w:rPr>
          <w:rFonts w:ascii="黑体" w:eastAsia="黑体" w:hAnsi="黑体" w:hint="eastAsia"/>
          <w:sz w:val="28"/>
        </w:rPr>
        <w:t>、</w:t>
      </w:r>
      <w:r w:rsidR="002E56C3">
        <w:rPr>
          <w:rFonts w:ascii="黑体" w:eastAsia="黑体" w:hAnsi="黑体" w:hint="eastAsia"/>
          <w:sz w:val="28"/>
        </w:rPr>
        <w:t>工作建议</w:t>
      </w:r>
    </w:p>
    <w:p w:rsidR="00C23792" w:rsidRDefault="002E56C3" w:rsidP="00C23792">
      <w:pPr>
        <w:ind w:left="567" w:firstLineChars="177" w:firstLine="566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根据数据显示</w:t>
      </w:r>
      <w:r w:rsidR="001D69C5" w:rsidRPr="003A1E34">
        <w:rPr>
          <w:rFonts w:ascii="方正仿宋_GBK" w:eastAsia="方正仿宋_GBK" w:hAnsi="仿宋" w:hint="eastAsia"/>
          <w:sz w:val="32"/>
          <w:szCs w:val="32"/>
        </w:rPr>
        <w:t>，各区（市）县</w:t>
      </w:r>
      <w:r>
        <w:rPr>
          <w:rFonts w:ascii="方正仿宋_GBK" w:eastAsia="方正仿宋_GBK" w:hAnsi="仿宋" w:hint="eastAsia"/>
          <w:sz w:val="32"/>
          <w:szCs w:val="32"/>
        </w:rPr>
        <w:t>2月日</w:t>
      </w:r>
      <w:r w:rsidR="001D69C5" w:rsidRPr="003A1E34">
        <w:rPr>
          <w:rFonts w:ascii="方正仿宋_GBK" w:eastAsia="方正仿宋_GBK" w:hAnsi="仿宋" w:hint="eastAsia"/>
          <w:sz w:val="32"/>
          <w:szCs w:val="32"/>
        </w:rPr>
        <w:t>平均流量</w:t>
      </w:r>
      <w:proofErr w:type="gramStart"/>
      <w:r w:rsidR="001D69C5" w:rsidRPr="003A1E34">
        <w:rPr>
          <w:rFonts w:ascii="方正仿宋_GBK" w:eastAsia="方正仿宋_GBK" w:hAnsi="仿宋" w:hint="eastAsia"/>
          <w:sz w:val="32"/>
          <w:szCs w:val="32"/>
        </w:rPr>
        <w:t>占基础</w:t>
      </w:r>
      <w:proofErr w:type="gramEnd"/>
      <w:r w:rsidR="001D69C5" w:rsidRPr="003A1E34">
        <w:rPr>
          <w:rFonts w:ascii="方正仿宋_GBK" w:eastAsia="方正仿宋_GBK" w:hAnsi="仿宋" w:hint="eastAsia"/>
          <w:sz w:val="32"/>
          <w:szCs w:val="32"/>
        </w:rPr>
        <w:t>流量最高为</w:t>
      </w:r>
      <w:r>
        <w:rPr>
          <w:rFonts w:ascii="方正仿宋_GBK" w:eastAsia="方正仿宋_GBK" w:hAnsi="仿宋" w:hint="eastAsia"/>
          <w:sz w:val="32"/>
          <w:szCs w:val="32"/>
        </w:rPr>
        <w:t>43</w:t>
      </w:r>
      <w:r w:rsidR="008A7580">
        <w:rPr>
          <w:rFonts w:ascii="方正仿宋_GBK" w:eastAsia="方正仿宋_GBK" w:hAnsi="仿宋" w:hint="eastAsia"/>
          <w:sz w:val="32"/>
          <w:szCs w:val="32"/>
        </w:rPr>
        <w:t>.</w:t>
      </w:r>
      <w:r>
        <w:rPr>
          <w:rFonts w:ascii="方正仿宋_GBK" w:eastAsia="方正仿宋_GBK" w:hAnsi="仿宋" w:hint="eastAsia"/>
          <w:sz w:val="32"/>
          <w:szCs w:val="32"/>
        </w:rPr>
        <w:t>75</w:t>
      </w:r>
      <w:r w:rsidR="001D69C5" w:rsidRPr="003A1E34">
        <w:rPr>
          <w:rFonts w:ascii="方正仿宋_GBK" w:eastAsia="方正仿宋_GBK" w:hAnsi="仿宋" w:hint="eastAsia"/>
          <w:sz w:val="32"/>
          <w:szCs w:val="32"/>
        </w:rPr>
        <w:t>%，最低</w:t>
      </w:r>
      <w:r w:rsidR="000B3C50">
        <w:rPr>
          <w:rFonts w:ascii="方正仿宋_GBK" w:eastAsia="方正仿宋_GBK" w:hAnsi="仿宋" w:hint="eastAsia"/>
          <w:sz w:val="32"/>
          <w:szCs w:val="32"/>
        </w:rPr>
        <w:t>为</w:t>
      </w:r>
      <w:r w:rsidR="001D69C5" w:rsidRPr="003A1E34">
        <w:rPr>
          <w:rFonts w:ascii="方正仿宋_GBK" w:eastAsia="方正仿宋_GBK" w:hAnsi="仿宋" w:hint="eastAsia"/>
          <w:sz w:val="32"/>
          <w:szCs w:val="32"/>
        </w:rPr>
        <w:t>1</w:t>
      </w:r>
      <w:r>
        <w:rPr>
          <w:rFonts w:ascii="方正仿宋_GBK" w:eastAsia="方正仿宋_GBK" w:hAnsi="仿宋" w:hint="eastAsia"/>
          <w:sz w:val="32"/>
          <w:szCs w:val="32"/>
        </w:rPr>
        <w:t>3</w:t>
      </w:r>
      <w:r w:rsidR="008A7580">
        <w:rPr>
          <w:rFonts w:ascii="方正仿宋_GBK" w:eastAsia="方正仿宋_GBK" w:hAnsi="仿宋" w:hint="eastAsia"/>
          <w:sz w:val="32"/>
          <w:szCs w:val="32"/>
        </w:rPr>
        <w:t>.</w:t>
      </w:r>
      <w:r>
        <w:rPr>
          <w:rFonts w:ascii="方正仿宋_GBK" w:eastAsia="方正仿宋_GBK" w:hAnsi="仿宋" w:hint="eastAsia"/>
          <w:sz w:val="32"/>
          <w:szCs w:val="32"/>
        </w:rPr>
        <w:t>62</w:t>
      </w:r>
      <w:r w:rsidR="003A1E34" w:rsidRPr="003A1E34">
        <w:rPr>
          <w:rFonts w:ascii="方正仿宋_GBK" w:eastAsia="方正仿宋_GBK" w:hAnsi="仿宋" w:hint="eastAsia"/>
          <w:sz w:val="32"/>
          <w:szCs w:val="32"/>
        </w:rPr>
        <w:t>%，建议各区（市）县</w:t>
      </w:r>
      <w:r>
        <w:rPr>
          <w:rFonts w:ascii="方正仿宋_GBK" w:eastAsia="方正仿宋_GBK" w:hAnsi="仿宋" w:hint="eastAsia"/>
          <w:sz w:val="32"/>
          <w:szCs w:val="32"/>
        </w:rPr>
        <w:t>进一步加强专用应用，提高效益。</w:t>
      </w:r>
    </w:p>
    <w:p w:rsidR="002E56C3" w:rsidRDefault="002E56C3" w:rsidP="00C23792">
      <w:pPr>
        <w:ind w:left="567" w:firstLineChars="177" w:firstLine="566"/>
        <w:rPr>
          <w:rFonts w:ascii="方正仿宋_GBK" w:eastAsia="方正仿宋_GBK" w:hAnsi="仿宋"/>
          <w:sz w:val="32"/>
          <w:szCs w:val="32"/>
        </w:rPr>
      </w:pPr>
    </w:p>
    <w:p w:rsidR="002E56C3" w:rsidRDefault="002E56C3" w:rsidP="00C23792">
      <w:pPr>
        <w:ind w:left="567" w:firstLineChars="177" w:firstLine="566"/>
        <w:rPr>
          <w:rFonts w:ascii="方正仿宋_GBK" w:eastAsia="方正仿宋_GBK" w:hAnsi="仿宋"/>
          <w:sz w:val="32"/>
          <w:szCs w:val="32"/>
        </w:rPr>
      </w:pPr>
    </w:p>
    <w:p w:rsidR="002E56C3" w:rsidRDefault="002E56C3" w:rsidP="00C23792">
      <w:pPr>
        <w:ind w:left="567" w:firstLineChars="177" w:firstLine="566"/>
        <w:rPr>
          <w:rFonts w:ascii="方正仿宋_GBK" w:eastAsia="方正仿宋_GBK" w:hAnsi="仿宋"/>
          <w:sz w:val="32"/>
          <w:szCs w:val="32"/>
        </w:rPr>
      </w:pPr>
    </w:p>
    <w:p w:rsidR="008A7580" w:rsidRPr="00C23792" w:rsidRDefault="008A7580" w:rsidP="00C23792">
      <w:pPr>
        <w:ind w:left="567" w:firstLineChars="177" w:firstLine="566"/>
        <w:rPr>
          <w:rFonts w:ascii="方正仿宋_GBK" w:eastAsia="方正仿宋_GBK" w:hAnsi="仿宋"/>
          <w:sz w:val="32"/>
          <w:szCs w:val="32"/>
        </w:rPr>
      </w:pPr>
    </w:p>
    <w:p w:rsidR="0069389D" w:rsidRDefault="0069389D" w:rsidP="0069389D">
      <w:pPr>
        <w:rPr>
          <w:rFonts w:ascii="楷体_GB2312" w:eastAsia="楷体_GB2312" w:hAnsi="宋体"/>
          <w:iCs/>
          <w:sz w:val="28"/>
        </w:rPr>
      </w:pPr>
      <w:r>
        <w:rPr>
          <w:rFonts w:ascii="楷体_GB2312" w:eastAsia="楷体_GB2312" w:hAnsi="宋体" w:hint="eastAsia"/>
          <w:iCs/>
          <w:sz w:val="28"/>
        </w:rPr>
        <w:lastRenderedPageBreak/>
        <w:t>附件:教育城域网整体拓扑结构图</w:t>
      </w:r>
    </w:p>
    <w:p w:rsidR="0069389D" w:rsidRDefault="0069389D" w:rsidP="0069389D">
      <w:pPr>
        <w:ind w:leftChars="-29" w:hangingChars="29" w:hanging="61"/>
        <w:rPr>
          <w:rFonts w:ascii="宋体" w:hAnsi="宋体" w:cs="Tahoma"/>
          <w:kern w:val="0"/>
          <w:szCs w:val="21"/>
        </w:rPr>
      </w:pPr>
      <w:r w:rsidRPr="0076776B">
        <w:rPr>
          <w:rFonts w:ascii="宋体" w:hAnsi="宋体" w:cs="Tahoma" w:hint="eastAsia"/>
          <w:kern w:val="0"/>
          <w:szCs w:val="21"/>
        </w:rPr>
        <w:object w:dxaOrig="11201" w:dyaOrig="15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551.25pt" o:ole="">
            <v:imagedata r:id="rId17" o:title=""/>
            <o:lock v:ext="edit" aspectratio="f"/>
          </v:shape>
          <o:OLEObject Type="Embed" ProgID="Visio.Drawing.11" ShapeID="_x0000_i1025" DrawAspect="Content" ObjectID="_1556113359" r:id="rId18"/>
        </w:object>
      </w:r>
    </w:p>
    <w:sectPr w:rsidR="0069389D" w:rsidSect="009A4C9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1F" w:rsidRDefault="00D22C1F">
      <w:r>
        <w:separator/>
      </w:r>
    </w:p>
  </w:endnote>
  <w:endnote w:type="continuationSeparator" w:id="0">
    <w:p w:rsidR="00D22C1F" w:rsidRDefault="00D2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E" w:rsidRDefault="00E50A24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5A32DE">
      <w:rPr>
        <w:rStyle w:val="a4"/>
      </w:rPr>
      <w:instrText xml:space="preserve">PAGE  </w:instrText>
    </w:r>
    <w:r>
      <w:fldChar w:fldCharType="end"/>
    </w:r>
  </w:p>
  <w:p w:rsidR="005A32DE" w:rsidRDefault="005A32D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E" w:rsidRDefault="00E50A24">
    <w:pPr>
      <w:pStyle w:val="a9"/>
      <w:framePr w:wrap="around" w:vAnchor="text" w:hAnchor="page" w:x="7921" w:y="26"/>
      <w:rPr>
        <w:rStyle w:val="a4"/>
      </w:rPr>
    </w:pPr>
    <w:r>
      <w:fldChar w:fldCharType="begin"/>
    </w:r>
    <w:r w:rsidR="005A32DE">
      <w:rPr>
        <w:rStyle w:val="a4"/>
      </w:rPr>
      <w:instrText xml:space="preserve">PAGE  </w:instrText>
    </w:r>
    <w:r>
      <w:fldChar w:fldCharType="separate"/>
    </w:r>
    <w:r w:rsidR="00246D93">
      <w:rPr>
        <w:rStyle w:val="a4"/>
        <w:noProof/>
      </w:rPr>
      <w:t>3</w:t>
    </w:r>
    <w:r>
      <w:fldChar w:fldCharType="end"/>
    </w:r>
  </w:p>
  <w:p w:rsidR="005A32DE" w:rsidRDefault="005A32DE">
    <w:r>
      <w:rPr>
        <w:rFonts w:hint="eastAsia"/>
        <w:sz w:val="18"/>
      </w:rPr>
      <w:t>第</w:t>
    </w:r>
    <w:r w:rsidR="00E50A24">
      <w:rPr>
        <w:sz w:val="18"/>
        <w:szCs w:val="18"/>
      </w:rPr>
      <w:fldChar w:fldCharType="begin"/>
    </w:r>
    <w:r>
      <w:rPr>
        <w:rStyle w:val="a4"/>
        <w:sz w:val="18"/>
        <w:szCs w:val="18"/>
      </w:rPr>
      <w:instrText xml:space="preserve"> PAGE </w:instrText>
    </w:r>
    <w:r w:rsidR="00E50A24">
      <w:rPr>
        <w:sz w:val="18"/>
        <w:szCs w:val="18"/>
      </w:rPr>
      <w:fldChar w:fldCharType="separate"/>
    </w:r>
    <w:r w:rsidR="00246D93">
      <w:rPr>
        <w:rStyle w:val="a4"/>
        <w:noProof/>
        <w:sz w:val="18"/>
        <w:szCs w:val="18"/>
      </w:rPr>
      <w:t>3</w:t>
    </w:r>
    <w:r w:rsidR="00E50A24">
      <w:rPr>
        <w:sz w:val="18"/>
        <w:szCs w:val="18"/>
      </w:rPr>
      <w:fldChar w:fldCharType="end"/>
    </w:r>
    <w:r>
      <w:rPr>
        <w:rStyle w:val="a4"/>
        <w:rFonts w:hint="eastAsia"/>
        <w:sz w:val="18"/>
        <w:szCs w:val="18"/>
      </w:rPr>
      <w:t>页</w:t>
    </w:r>
    <w:r>
      <w:rPr>
        <w:rStyle w:val="a4"/>
        <w:rFonts w:hint="eastAsia"/>
        <w:sz w:val="18"/>
        <w:szCs w:val="18"/>
      </w:rPr>
      <w:t>/</w:t>
    </w:r>
    <w:r>
      <w:rPr>
        <w:rStyle w:val="a4"/>
        <w:rFonts w:hint="eastAsia"/>
        <w:sz w:val="18"/>
        <w:szCs w:val="18"/>
      </w:rPr>
      <w:t>总</w:t>
    </w:r>
    <w:r w:rsidR="00794890">
      <w:rPr>
        <w:rStyle w:val="a4"/>
        <w:rFonts w:hint="eastAsia"/>
        <w:sz w:val="18"/>
        <w:szCs w:val="18"/>
      </w:rPr>
      <w:t>17</w:t>
    </w:r>
    <w:r>
      <w:rPr>
        <w:rStyle w:val="a4"/>
        <w:rFonts w:hint="eastAsia"/>
        <w:sz w:val="18"/>
        <w:szCs w:val="18"/>
      </w:rPr>
      <w:t>页</w:t>
    </w:r>
  </w:p>
  <w:p w:rsidR="005A32DE" w:rsidRDefault="005A32D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9C" w:rsidRDefault="00A043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1F" w:rsidRDefault="00D22C1F">
      <w:r>
        <w:separator/>
      </w:r>
    </w:p>
  </w:footnote>
  <w:footnote w:type="continuationSeparator" w:id="0">
    <w:p w:rsidR="00D22C1F" w:rsidRDefault="00D2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9C" w:rsidRDefault="00A043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E" w:rsidRDefault="00E50A24" w:rsidP="00401744">
    <w:pPr>
      <w:jc w:val="center"/>
    </w:pPr>
    <w:r>
      <w:pict>
        <v:line id="直线 8" o:spid="_x0000_s2049" style="position:absolute;left:0;text-align:left;z-index:251657728" from="-2.25pt,27.2pt" to="424.85pt,27.2pt" strokeweight="1.5pt"/>
      </w:pict>
    </w:r>
    <w:r w:rsidR="005A32DE">
      <w:rPr>
        <w:rFonts w:hint="eastAsia"/>
        <w:sz w:val="18"/>
        <w:szCs w:val="18"/>
      </w:rPr>
      <w:t>成都市</w:t>
    </w:r>
    <w:proofErr w:type="gramStart"/>
    <w:r w:rsidR="005A32DE">
      <w:rPr>
        <w:rFonts w:hint="eastAsia"/>
        <w:sz w:val="18"/>
        <w:szCs w:val="18"/>
      </w:rPr>
      <w:t>教育城域</w:t>
    </w:r>
    <w:r w:rsidR="00401744">
      <w:rPr>
        <w:rFonts w:hint="eastAsia"/>
        <w:sz w:val="18"/>
        <w:szCs w:val="18"/>
      </w:rPr>
      <w:t>专</w:t>
    </w:r>
    <w:r w:rsidR="005A32DE">
      <w:rPr>
        <w:rFonts w:hint="eastAsia"/>
        <w:sz w:val="18"/>
        <w:szCs w:val="18"/>
      </w:rPr>
      <w:t>网</w:t>
    </w:r>
    <w:proofErr w:type="gramEnd"/>
    <w:r w:rsidR="00401744">
      <w:rPr>
        <w:rFonts w:hint="eastAsia"/>
        <w:sz w:val="18"/>
        <w:szCs w:val="18"/>
      </w:rPr>
      <w:t>运行</w:t>
    </w:r>
    <w:r w:rsidR="00604DC2">
      <w:rPr>
        <w:rFonts w:hint="eastAsia"/>
        <w:sz w:val="18"/>
        <w:szCs w:val="18"/>
      </w:rPr>
      <w:t>月</w:t>
    </w:r>
    <w:r w:rsidR="00401744">
      <w:rPr>
        <w:rFonts w:hint="eastAsia"/>
        <w:sz w:val="18"/>
        <w:szCs w:val="18"/>
      </w:rPr>
      <w:t>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9C" w:rsidRDefault="00A043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0BE"/>
    <w:multiLevelType w:val="hybridMultilevel"/>
    <w:tmpl w:val="6AF6FBC4"/>
    <w:lvl w:ilvl="0" w:tplc="A220262A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1A974E52"/>
    <w:multiLevelType w:val="hybridMultilevel"/>
    <w:tmpl w:val="8D626C70"/>
    <w:lvl w:ilvl="0" w:tplc="87347E54">
      <w:start w:val="1"/>
      <w:numFmt w:val="japaneseCounting"/>
      <w:lvlText w:val="%1、"/>
      <w:lvlJc w:val="left"/>
      <w:pPr>
        <w:ind w:left="862" w:hanging="720"/>
      </w:pPr>
      <w:rPr>
        <w:rFonts w:ascii="黑体" w:eastAsia="黑体" w:hAnsi="黑体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6B0257"/>
    <w:multiLevelType w:val="multilevel"/>
    <w:tmpl w:val="3C6B0257"/>
    <w:lvl w:ilvl="0">
      <w:start w:val="1"/>
      <w:numFmt w:val="decimal"/>
      <w:lvlText w:val="%1、"/>
      <w:lvlJc w:val="left"/>
      <w:pPr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C67CB7"/>
    <w:multiLevelType w:val="multilevel"/>
    <w:tmpl w:val="79C67CB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D84C39"/>
    <w:rsid w:val="00000CEB"/>
    <w:rsid w:val="00006286"/>
    <w:rsid w:val="00007492"/>
    <w:rsid w:val="00024A41"/>
    <w:rsid w:val="00025EA5"/>
    <w:rsid w:val="00027FC4"/>
    <w:rsid w:val="00031BBE"/>
    <w:rsid w:val="0003371C"/>
    <w:rsid w:val="00034F50"/>
    <w:rsid w:val="00035850"/>
    <w:rsid w:val="00043410"/>
    <w:rsid w:val="000440C8"/>
    <w:rsid w:val="00050B8B"/>
    <w:rsid w:val="00052813"/>
    <w:rsid w:val="00055FA0"/>
    <w:rsid w:val="00057A0C"/>
    <w:rsid w:val="00063032"/>
    <w:rsid w:val="00071D4A"/>
    <w:rsid w:val="00072C94"/>
    <w:rsid w:val="00077C99"/>
    <w:rsid w:val="000935C7"/>
    <w:rsid w:val="000948CF"/>
    <w:rsid w:val="000956D4"/>
    <w:rsid w:val="000A2F8F"/>
    <w:rsid w:val="000A342E"/>
    <w:rsid w:val="000A5474"/>
    <w:rsid w:val="000A679F"/>
    <w:rsid w:val="000B0433"/>
    <w:rsid w:val="000B3C50"/>
    <w:rsid w:val="000B5EFE"/>
    <w:rsid w:val="000B7DC1"/>
    <w:rsid w:val="000C0D0D"/>
    <w:rsid w:val="000C66F9"/>
    <w:rsid w:val="000C7F49"/>
    <w:rsid w:val="000D0D3C"/>
    <w:rsid w:val="000D32B4"/>
    <w:rsid w:val="000E1D66"/>
    <w:rsid w:val="000E5AA0"/>
    <w:rsid w:val="000F0FA1"/>
    <w:rsid w:val="000F14FD"/>
    <w:rsid w:val="000F432D"/>
    <w:rsid w:val="00100E3D"/>
    <w:rsid w:val="0010429B"/>
    <w:rsid w:val="00113900"/>
    <w:rsid w:val="00116DD1"/>
    <w:rsid w:val="001230FA"/>
    <w:rsid w:val="00124AAA"/>
    <w:rsid w:val="00125441"/>
    <w:rsid w:val="001255B3"/>
    <w:rsid w:val="00125F63"/>
    <w:rsid w:val="0012682E"/>
    <w:rsid w:val="00142133"/>
    <w:rsid w:val="00144D63"/>
    <w:rsid w:val="00150798"/>
    <w:rsid w:val="001510C6"/>
    <w:rsid w:val="00155406"/>
    <w:rsid w:val="00156362"/>
    <w:rsid w:val="00160DF6"/>
    <w:rsid w:val="00163F56"/>
    <w:rsid w:val="00177795"/>
    <w:rsid w:val="00185CDF"/>
    <w:rsid w:val="001870DA"/>
    <w:rsid w:val="00194402"/>
    <w:rsid w:val="001A1848"/>
    <w:rsid w:val="001A3149"/>
    <w:rsid w:val="001A441D"/>
    <w:rsid w:val="001A6A1E"/>
    <w:rsid w:val="001B1EC1"/>
    <w:rsid w:val="001D1516"/>
    <w:rsid w:val="001D1A34"/>
    <w:rsid w:val="001D2556"/>
    <w:rsid w:val="001D3D7A"/>
    <w:rsid w:val="001D47A4"/>
    <w:rsid w:val="001D69C5"/>
    <w:rsid w:val="001E715F"/>
    <w:rsid w:val="001F1334"/>
    <w:rsid w:val="001F2068"/>
    <w:rsid w:val="001F4C7F"/>
    <w:rsid w:val="001F6329"/>
    <w:rsid w:val="00201AF2"/>
    <w:rsid w:val="0020761E"/>
    <w:rsid w:val="00207FFA"/>
    <w:rsid w:val="00210C36"/>
    <w:rsid w:val="002123DF"/>
    <w:rsid w:val="00212848"/>
    <w:rsid w:val="00221CC1"/>
    <w:rsid w:val="00237AE3"/>
    <w:rsid w:val="00246290"/>
    <w:rsid w:val="002463E8"/>
    <w:rsid w:val="00246D93"/>
    <w:rsid w:val="002519A8"/>
    <w:rsid w:val="00255312"/>
    <w:rsid w:val="00266065"/>
    <w:rsid w:val="0026616C"/>
    <w:rsid w:val="00273D90"/>
    <w:rsid w:val="00276B46"/>
    <w:rsid w:val="00281842"/>
    <w:rsid w:val="00282DF6"/>
    <w:rsid w:val="002949CC"/>
    <w:rsid w:val="002B0AFD"/>
    <w:rsid w:val="002B1EBC"/>
    <w:rsid w:val="002B4A01"/>
    <w:rsid w:val="002B58FB"/>
    <w:rsid w:val="002C1D7C"/>
    <w:rsid w:val="002C260E"/>
    <w:rsid w:val="002C5BD0"/>
    <w:rsid w:val="002D2A89"/>
    <w:rsid w:val="002D3790"/>
    <w:rsid w:val="002E0EFA"/>
    <w:rsid w:val="002E56C3"/>
    <w:rsid w:val="002F06BF"/>
    <w:rsid w:val="002F266F"/>
    <w:rsid w:val="002F29ED"/>
    <w:rsid w:val="002F5CD8"/>
    <w:rsid w:val="002F6809"/>
    <w:rsid w:val="002F6B4B"/>
    <w:rsid w:val="00300C0E"/>
    <w:rsid w:val="0030234C"/>
    <w:rsid w:val="00303F9B"/>
    <w:rsid w:val="003072CB"/>
    <w:rsid w:val="00311200"/>
    <w:rsid w:val="003131C4"/>
    <w:rsid w:val="00320087"/>
    <w:rsid w:val="00321A6B"/>
    <w:rsid w:val="00322113"/>
    <w:rsid w:val="00324DBD"/>
    <w:rsid w:val="00330667"/>
    <w:rsid w:val="00332BF7"/>
    <w:rsid w:val="0033437D"/>
    <w:rsid w:val="003350D6"/>
    <w:rsid w:val="003417C8"/>
    <w:rsid w:val="00345767"/>
    <w:rsid w:val="00345A21"/>
    <w:rsid w:val="00347253"/>
    <w:rsid w:val="00360729"/>
    <w:rsid w:val="00362F0F"/>
    <w:rsid w:val="00365C4D"/>
    <w:rsid w:val="00380274"/>
    <w:rsid w:val="00383574"/>
    <w:rsid w:val="0039373E"/>
    <w:rsid w:val="003971C3"/>
    <w:rsid w:val="003A1E34"/>
    <w:rsid w:val="003B1BFE"/>
    <w:rsid w:val="003B5F6D"/>
    <w:rsid w:val="003C3E55"/>
    <w:rsid w:val="003D11AD"/>
    <w:rsid w:val="003D23FC"/>
    <w:rsid w:val="003E1C33"/>
    <w:rsid w:val="003E6CBB"/>
    <w:rsid w:val="003F6448"/>
    <w:rsid w:val="00401744"/>
    <w:rsid w:val="0040491E"/>
    <w:rsid w:val="00404A61"/>
    <w:rsid w:val="00405392"/>
    <w:rsid w:val="00407A24"/>
    <w:rsid w:val="004157BB"/>
    <w:rsid w:val="00416BB3"/>
    <w:rsid w:val="00423C1C"/>
    <w:rsid w:val="00430940"/>
    <w:rsid w:val="00435C53"/>
    <w:rsid w:val="00442EFA"/>
    <w:rsid w:val="00442F88"/>
    <w:rsid w:val="00443C7B"/>
    <w:rsid w:val="00450F80"/>
    <w:rsid w:val="00455A4B"/>
    <w:rsid w:val="0045618E"/>
    <w:rsid w:val="00465139"/>
    <w:rsid w:val="0047708A"/>
    <w:rsid w:val="004778BE"/>
    <w:rsid w:val="00490325"/>
    <w:rsid w:val="00491FD9"/>
    <w:rsid w:val="004966FE"/>
    <w:rsid w:val="00497CE9"/>
    <w:rsid w:val="004A3492"/>
    <w:rsid w:val="004A47D1"/>
    <w:rsid w:val="004B0D04"/>
    <w:rsid w:val="004B0F6E"/>
    <w:rsid w:val="004C1B44"/>
    <w:rsid w:val="004C2E1A"/>
    <w:rsid w:val="004C4D41"/>
    <w:rsid w:val="004C6C1F"/>
    <w:rsid w:val="004D06CD"/>
    <w:rsid w:val="004D3FD7"/>
    <w:rsid w:val="004D7978"/>
    <w:rsid w:val="004D7AE2"/>
    <w:rsid w:val="004E5CD5"/>
    <w:rsid w:val="004F1B19"/>
    <w:rsid w:val="004F2CB4"/>
    <w:rsid w:val="004F2FCA"/>
    <w:rsid w:val="004F75AB"/>
    <w:rsid w:val="005024A0"/>
    <w:rsid w:val="0050666A"/>
    <w:rsid w:val="0051032C"/>
    <w:rsid w:val="00512BA9"/>
    <w:rsid w:val="00514BF0"/>
    <w:rsid w:val="00523577"/>
    <w:rsid w:val="005244F4"/>
    <w:rsid w:val="0052582D"/>
    <w:rsid w:val="0052687A"/>
    <w:rsid w:val="00533782"/>
    <w:rsid w:val="005410B9"/>
    <w:rsid w:val="005435EA"/>
    <w:rsid w:val="00544D1F"/>
    <w:rsid w:val="00552911"/>
    <w:rsid w:val="00552C75"/>
    <w:rsid w:val="00554953"/>
    <w:rsid w:val="00555045"/>
    <w:rsid w:val="0055527F"/>
    <w:rsid w:val="00555942"/>
    <w:rsid w:val="00562303"/>
    <w:rsid w:val="00563250"/>
    <w:rsid w:val="00570CAB"/>
    <w:rsid w:val="00575BE9"/>
    <w:rsid w:val="00581697"/>
    <w:rsid w:val="00582451"/>
    <w:rsid w:val="00586417"/>
    <w:rsid w:val="0058684A"/>
    <w:rsid w:val="005932B5"/>
    <w:rsid w:val="00596699"/>
    <w:rsid w:val="005A2C36"/>
    <w:rsid w:val="005A32DE"/>
    <w:rsid w:val="005A60E9"/>
    <w:rsid w:val="005B0389"/>
    <w:rsid w:val="005B0656"/>
    <w:rsid w:val="005B07EF"/>
    <w:rsid w:val="005B0D0E"/>
    <w:rsid w:val="005B1862"/>
    <w:rsid w:val="005C150C"/>
    <w:rsid w:val="005C3F28"/>
    <w:rsid w:val="005C7CC1"/>
    <w:rsid w:val="005D5C82"/>
    <w:rsid w:val="005E07A9"/>
    <w:rsid w:val="005E53F4"/>
    <w:rsid w:val="005F0BE7"/>
    <w:rsid w:val="005F4F99"/>
    <w:rsid w:val="00603DAE"/>
    <w:rsid w:val="00604DC2"/>
    <w:rsid w:val="00604FBD"/>
    <w:rsid w:val="0060554D"/>
    <w:rsid w:val="00611BE3"/>
    <w:rsid w:val="00612F76"/>
    <w:rsid w:val="00620DAC"/>
    <w:rsid w:val="0062167F"/>
    <w:rsid w:val="00627021"/>
    <w:rsid w:val="006301CF"/>
    <w:rsid w:val="0063744E"/>
    <w:rsid w:val="00640F70"/>
    <w:rsid w:val="00641EB5"/>
    <w:rsid w:val="00643370"/>
    <w:rsid w:val="006449B2"/>
    <w:rsid w:val="0065501D"/>
    <w:rsid w:val="0066076B"/>
    <w:rsid w:val="006639DC"/>
    <w:rsid w:val="00667BEA"/>
    <w:rsid w:val="00670739"/>
    <w:rsid w:val="00672C19"/>
    <w:rsid w:val="00684AC5"/>
    <w:rsid w:val="006871E1"/>
    <w:rsid w:val="00690324"/>
    <w:rsid w:val="0069389D"/>
    <w:rsid w:val="0069432D"/>
    <w:rsid w:val="0069536F"/>
    <w:rsid w:val="006A2952"/>
    <w:rsid w:val="006A6A76"/>
    <w:rsid w:val="006A7916"/>
    <w:rsid w:val="006B1B29"/>
    <w:rsid w:val="006B7FC6"/>
    <w:rsid w:val="006C0747"/>
    <w:rsid w:val="006C0E00"/>
    <w:rsid w:val="006C2771"/>
    <w:rsid w:val="006C3CB8"/>
    <w:rsid w:val="006D73F2"/>
    <w:rsid w:val="006E287F"/>
    <w:rsid w:val="006E2E85"/>
    <w:rsid w:val="006E6DA8"/>
    <w:rsid w:val="006E6EE1"/>
    <w:rsid w:val="006F39EE"/>
    <w:rsid w:val="006F54D8"/>
    <w:rsid w:val="006F766A"/>
    <w:rsid w:val="007054DB"/>
    <w:rsid w:val="00710FB9"/>
    <w:rsid w:val="00715ACE"/>
    <w:rsid w:val="0071609C"/>
    <w:rsid w:val="00716D58"/>
    <w:rsid w:val="00717394"/>
    <w:rsid w:val="00721103"/>
    <w:rsid w:val="00721952"/>
    <w:rsid w:val="00722911"/>
    <w:rsid w:val="00726458"/>
    <w:rsid w:val="007434B0"/>
    <w:rsid w:val="00743694"/>
    <w:rsid w:val="007436F5"/>
    <w:rsid w:val="0074525A"/>
    <w:rsid w:val="007453CE"/>
    <w:rsid w:val="00745F42"/>
    <w:rsid w:val="0075046C"/>
    <w:rsid w:val="00762872"/>
    <w:rsid w:val="00763D68"/>
    <w:rsid w:val="00765CCE"/>
    <w:rsid w:val="00773AFC"/>
    <w:rsid w:val="00774725"/>
    <w:rsid w:val="007800F3"/>
    <w:rsid w:val="00784186"/>
    <w:rsid w:val="007912A5"/>
    <w:rsid w:val="00794890"/>
    <w:rsid w:val="0079496E"/>
    <w:rsid w:val="007A1E38"/>
    <w:rsid w:val="007A32DC"/>
    <w:rsid w:val="007A60FC"/>
    <w:rsid w:val="007A759A"/>
    <w:rsid w:val="007A7D40"/>
    <w:rsid w:val="007B0E83"/>
    <w:rsid w:val="007B2282"/>
    <w:rsid w:val="007B29D5"/>
    <w:rsid w:val="007C5382"/>
    <w:rsid w:val="007D39A0"/>
    <w:rsid w:val="007D6040"/>
    <w:rsid w:val="007D71F8"/>
    <w:rsid w:val="007E0909"/>
    <w:rsid w:val="007E2BE0"/>
    <w:rsid w:val="007E5F2D"/>
    <w:rsid w:val="007F2007"/>
    <w:rsid w:val="007F24AE"/>
    <w:rsid w:val="007F52EC"/>
    <w:rsid w:val="007F778A"/>
    <w:rsid w:val="00811C10"/>
    <w:rsid w:val="00816076"/>
    <w:rsid w:val="008170AA"/>
    <w:rsid w:val="00821849"/>
    <w:rsid w:val="008262E9"/>
    <w:rsid w:val="008269AA"/>
    <w:rsid w:val="00826CC8"/>
    <w:rsid w:val="00827938"/>
    <w:rsid w:val="00843FB6"/>
    <w:rsid w:val="0084685A"/>
    <w:rsid w:val="008519DF"/>
    <w:rsid w:val="00854D19"/>
    <w:rsid w:val="00867458"/>
    <w:rsid w:val="008742D9"/>
    <w:rsid w:val="00877DDF"/>
    <w:rsid w:val="00881926"/>
    <w:rsid w:val="00881E24"/>
    <w:rsid w:val="0088250F"/>
    <w:rsid w:val="008827F6"/>
    <w:rsid w:val="008840A6"/>
    <w:rsid w:val="00894502"/>
    <w:rsid w:val="00894864"/>
    <w:rsid w:val="00897073"/>
    <w:rsid w:val="0089790B"/>
    <w:rsid w:val="008A09F8"/>
    <w:rsid w:val="008A12C9"/>
    <w:rsid w:val="008A1DCF"/>
    <w:rsid w:val="008A633D"/>
    <w:rsid w:val="008A6ECB"/>
    <w:rsid w:val="008A7580"/>
    <w:rsid w:val="008A7596"/>
    <w:rsid w:val="008B72D3"/>
    <w:rsid w:val="008C02A2"/>
    <w:rsid w:val="008C561E"/>
    <w:rsid w:val="008C6BFE"/>
    <w:rsid w:val="008C6E25"/>
    <w:rsid w:val="008E14B0"/>
    <w:rsid w:val="008E2515"/>
    <w:rsid w:val="008E2E31"/>
    <w:rsid w:val="008E3F7F"/>
    <w:rsid w:val="008E5357"/>
    <w:rsid w:val="008E5DF3"/>
    <w:rsid w:val="008F209F"/>
    <w:rsid w:val="008F227A"/>
    <w:rsid w:val="008F33EE"/>
    <w:rsid w:val="008F4D54"/>
    <w:rsid w:val="008F6C86"/>
    <w:rsid w:val="009043D0"/>
    <w:rsid w:val="00904977"/>
    <w:rsid w:val="00910976"/>
    <w:rsid w:val="00912A0F"/>
    <w:rsid w:val="00912CE1"/>
    <w:rsid w:val="009201C3"/>
    <w:rsid w:val="00922108"/>
    <w:rsid w:val="00923825"/>
    <w:rsid w:val="009241A0"/>
    <w:rsid w:val="00927E63"/>
    <w:rsid w:val="00930346"/>
    <w:rsid w:val="00932DEF"/>
    <w:rsid w:val="00935341"/>
    <w:rsid w:val="00936A32"/>
    <w:rsid w:val="00945539"/>
    <w:rsid w:val="00955884"/>
    <w:rsid w:val="00955CB2"/>
    <w:rsid w:val="009572C2"/>
    <w:rsid w:val="00962260"/>
    <w:rsid w:val="00963995"/>
    <w:rsid w:val="009709B5"/>
    <w:rsid w:val="00971989"/>
    <w:rsid w:val="00975D0E"/>
    <w:rsid w:val="009801FE"/>
    <w:rsid w:val="00980205"/>
    <w:rsid w:val="009819D4"/>
    <w:rsid w:val="00982110"/>
    <w:rsid w:val="00983132"/>
    <w:rsid w:val="0099058D"/>
    <w:rsid w:val="0099326E"/>
    <w:rsid w:val="009976BB"/>
    <w:rsid w:val="00997EE3"/>
    <w:rsid w:val="009A4C9B"/>
    <w:rsid w:val="009B2E3E"/>
    <w:rsid w:val="009B4250"/>
    <w:rsid w:val="009B4C86"/>
    <w:rsid w:val="009B7CE8"/>
    <w:rsid w:val="009C1BCD"/>
    <w:rsid w:val="009C4C15"/>
    <w:rsid w:val="009C52CA"/>
    <w:rsid w:val="009C587F"/>
    <w:rsid w:val="009E1766"/>
    <w:rsid w:val="009F4358"/>
    <w:rsid w:val="00A00DFF"/>
    <w:rsid w:val="00A04311"/>
    <w:rsid w:val="00A0439C"/>
    <w:rsid w:val="00A0653E"/>
    <w:rsid w:val="00A06B46"/>
    <w:rsid w:val="00A1123E"/>
    <w:rsid w:val="00A112DF"/>
    <w:rsid w:val="00A13287"/>
    <w:rsid w:val="00A13B4D"/>
    <w:rsid w:val="00A140F1"/>
    <w:rsid w:val="00A156B8"/>
    <w:rsid w:val="00A20033"/>
    <w:rsid w:val="00A2039A"/>
    <w:rsid w:val="00A3791E"/>
    <w:rsid w:val="00A43592"/>
    <w:rsid w:val="00A43B7B"/>
    <w:rsid w:val="00A4492F"/>
    <w:rsid w:val="00A50127"/>
    <w:rsid w:val="00A51906"/>
    <w:rsid w:val="00A520F0"/>
    <w:rsid w:val="00A566DC"/>
    <w:rsid w:val="00A5772C"/>
    <w:rsid w:val="00A62AFA"/>
    <w:rsid w:val="00A638F3"/>
    <w:rsid w:val="00A644E1"/>
    <w:rsid w:val="00A65BA9"/>
    <w:rsid w:val="00A7512F"/>
    <w:rsid w:val="00A86F35"/>
    <w:rsid w:val="00A91224"/>
    <w:rsid w:val="00A951C3"/>
    <w:rsid w:val="00AA79CC"/>
    <w:rsid w:val="00AB02B6"/>
    <w:rsid w:val="00AB1679"/>
    <w:rsid w:val="00AB5A53"/>
    <w:rsid w:val="00AB6E56"/>
    <w:rsid w:val="00AC0179"/>
    <w:rsid w:val="00AC0B70"/>
    <w:rsid w:val="00AC3143"/>
    <w:rsid w:val="00AC5282"/>
    <w:rsid w:val="00AE1650"/>
    <w:rsid w:val="00AE61CA"/>
    <w:rsid w:val="00AF5CB0"/>
    <w:rsid w:val="00AF6B2D"/>
    <w:rsid w:val="00AF7C44"/>
    <w:rsid w:val="00B017C0"/>
    <w:rsid w:val="00B05738"/>
    <w:rsid w:val="00B167EF"/>
    <w:rsid w:val="00B26F06"/>
    <w:rsid w:val="00B344EC"/>
    <w:rsid w:val="00B360E0"/>
    <w:rsid w:val="00B43DC8"/>
    <w:rsid w:val="00B45908"/>
    <w:rsid w:val="00B47742"/>
    <w:rsid w:val="00B47D20"/>
    <w:rsid w:val="00B5521E"/>
    <w:rsid w:val="00B56D60"/>
    <w:rsid w:val="00B639AC"/>
    <w:rsid w:val="00B832A9"/>
    <w:rsid w:val="00B84426"/>
    <w:rsid w:val="00BA63B2"/>
    <w:rsid w:val="00BB28F1"/>
    <w:rsid w:val="00BC24BB"/>
    <w:rsid w:val="00BC5EB2"/>
    <w:rsid w:val="00BD7791"/>
    <w:rsid w:val="00BE3F30"/>
    <w:rsid w:val="00BE409F"/>
    <w:rsid w:val="00BE59C0"/>
    <w:rsid w:val="00BF05C5"/>
    <w:rsid w:val="00BF3035"/>
    <w:rsid w:val="00C00758"/>
    <w:rsid w:val="00C01319"/>
    <w:rsid w:val="00C01A81"/>
    <w:rsid w:val="00C0318F"/>
    <w:rsid w:val="00C075DB"/>
    <w:rsid w:val="00C07785"/>
    <w:rsid w:val="00C10B97"/>
    <w:rsid w:val="00C15E8C"/>
    <w:rsid w:val="00C23792"/>
    <w:rsid w:val="00C26950"/>
    <w:rsid w:val="00C311F1"/>
    <w:rsid w:val="00C4295A"/>
    <w:rsid w:val="00C503CB"/>
    <w:rsid w:val="00C5070B"/>
    <w:rsid w:val="00C52105"/>
    <w:rsid w:val="00C60280"/>
    <w:rsid w:val="00C63840"/>
    <w:rsid w:val="00C643F1"/>
    <w:rsid w:val="00C74846"/>
    <w:rsid w:val="00C76E86"/>
    <w:rsid w:val="00C82D33"/>
    <w:rsid w:val="00C83AD3"/>
    <w:rsid w:val="00C8584F"/>
    <w:rsid w:val="00C91538"/>
    <w:rsid w:val="00C95761"/>
    <w:rsid w:val="00C95A66"/>
    <w:rsid w:val="00C95B06"/>
    <w:rsid w:val="00CA0321"/>
    <w:rsid w:val="00CA18A4"/>
    <w:rsid w:val="00CA1B8C"/>
    <w:rsid w:val="00CA2E30"/>
    <w:rsid w:val="00CA4333"/>
    <w:rsid w:val="00CA516F"/>
    <w:rsid w:val="00CA57E3"/>
    <w:rsid w:val="00CB3744"/>
    <w:rsid w:val="00CC1DE1"/>
    <w:rsid w:val="00CC5201"/>
    <w:rsid w:val="00CD1942"/>
    <w:rsid w:val="00CD19CA"/>
    <w:rsid w:val="00CD2B8F"/>
    <w:rsid w:val="00CD6ADB"/>
    <w:rsid w:val="00CE390A"/>
    <w:rsid w:val="00CE5519"/>
    <w:rsid w:val="00CE720F"/>
    <w:rsid w:val="00CF0077"/>
    <w:rsid w:val="00CF2600"/>
    <w:rsid w:val="00CF4C9B"/>
    <w:rsid w:val="00D0090C"/>
    <w:rsid w:val="00D00AA5"/>
    <w:rsid w:val="00D02345"/>
    <w:rsid w:val="00D03DA4"/>
    <w:rsid w:val="00D04F8D"/>
    <w:rsid w:val="00D1018E"/>
    <w:rsid w:val="00D10231"/>
    <w:rsid w:val="00D22C1F"/>
    <w:rsid w:val="00D23704"/>
    <w:rsid w:val="00D36387"/>
    <w:rsid w:val="00D3673A"/>
    <w:rsid w:val="00D5087D"/>
    <w:rsid w:val="00D52EF7"/>
    <w:rsid w:val="00D562AC"/>
    <w:rsid w:val="00D56333"/>
    <w:rsid w:val="00D570BF"/>
    <w:rsid w:val="00D60CD2"/>
    <w:rsid w:val="00D6626F"/>
    <w:rsid w:val="00D66825"/>
    <w:rsid w:val="00D7051D"/>
    <w:rsid w:val="00D72509"/>
    <w:rsid w:val="00D73025"/>
    <w:rsid w:val="00D7533B"/>
    <w:rsid w:val="00D77CAD"/>
    <w:rsid w:val="00D8110E"/>
    <w:rsid w:val="00D813D4"/>
    <w:rsid w:val="00D84C39"/>
    <w:rsid w:val="00D96371"/>
    <w:rsid w:val="00DA1A71"/>
    <w:rsid w:val="00DA322A"/>
    <w:rsid w:val="00DA3A45"/>
    <w:rsid w:val="00DA4F30"/>
    <w:rsid w:val="00DA5296"/>
    <w:rsid w:val="00DB069B"/>
    <w:rsid w:val="00DB1BCD"/>
    <w:rsid w:val="00DB38CC"/>
    <w:rsid w:val="00DC20D3"/>
    <w:rsid w:val="00DC59CF"/>
    <w:rsid w:val="00DD1170"/>
    <w:rsid w:val="00DE3ABC"/>
    <w:rsid w:val="00DE3AEB"/>
    <w:rsid w:val="00DE3ED9"/>
    <w:rsid w:val="00DE7A61"/>
    <w:rsid w:val="00DF0B01"/>
    <w:rsid w:val="00E02E8C"/>
    <w:rsid w:val="00E064F8"/>
    <w:rsid w:val="00E11A6A"/>
    <w:rsid w:val="00E1273F"/>
    <w:rsid w:val="00E278F2"/>
    <w:rsid w:val="00E27FE7"/>
    <w:rsid w:val="00E30CD7"/>
    <w:rsid w:val="00E34058"/>
    <w:rsid w:val="00E3666B"/>
    <w:rsid w:val="00E44A69"/>
    <w:rsid w:val="00E46CC0"/>
    <w:rsid w:val="00E4706F"/>
    <w:rsid w:val="00E50A24"/>
    <w:rsid w:val="00E53363"/>
    <w:rsid w:val="00E53479"/>
    <w:rsid w:val="00E53F68"/>
    <w:rsid w:val="00E553ED"/>
    <w:rsid w:val="00E55EAC"/>
    <w:rsid w:val="00E62105"/>
    <w:rsid w:val="00E8072D"/>
    <w:rsid w:val="00E8099B"/>
    <w:rsid w:val="00E843DE"/>
    <w:rsid w:val="00E86B52"/>
    <w:rsid w:val="00E86DB7"/>
    <w:rsid w:val="00EA2E36"/>
    <w:rsid w:val="00EA4A7E"/>
    <w:rsid w:val="00EA584D"/>
    <w:rsid w:val="00EA5CE6"/>
    <w:rsid w:val="00EA5DED"/>
    <w:rsid w:val="00EA796C"/>
    <w:rsid w:val="00EB0368"/>
    <w:rsid w:val="00EB07B2"/>
    <w:rsid w:val="00EB7F18"/>
    <w:rsid w:val="00EC10C7"/>
    <w:rsid w:val="00EC380C"/>
    <w:rsid w:val="00EC3B98"/>
    <w:rsid w:val="00EC70F5"/>
    <w:rsid w:val="00ED3261"/>
    <w:rsid w:val="00ED3EBA"/>
    <w:rsid w:val="00EF15E0"/>
    <w:rsid w:val="00EF7A12"/>
    <w:rsid w:val="00EF7B57"/>
    <w:rsid w:val="00EF7F1A"/>
    <w:rsid w:val="00F010E5"/>
    <w:rsid w:val="00F022F4"/>
    <w:rsid w:val="00F03439"/>
    <w:rsid w:val="00F03D63"/>
    <w:rsid w:val="00F07901"/>
    <w:rsid w:val="00F10056"/>
    <w:rsid w:val="00F10540"/>
    <w:rsid w:val="00F112CC"/>
    <w:rsid w:val="00F134BF"/>
    <w:rsid w:val="00F15E4B"/>
    <w:rsid w:val="00F371AA"/>
    <w:rsid w:val="00F539C0"/>
    <w:rsid w:val="00F542C4"/>
    <w:rsid w:val="00F67F8D"/>
    <w:rsid w:val="00F7302D"/>
    <w:rsid w:val="00F80E54"/>
    <w:rsid w:val="00F81A91"/>
    <w:rsid w:val="00F81C71"/>
    <w:rsid w:val="00FA07A4"/>
    <w:rsid w:val="00FB635A"/>
    <w:rsid w:val="00FB6B7D"/>
    <w:rsid w:val="00FB7D52"/>
    <w:rsid w:val="00FC1D4A"/>
    <w:rsid w:val="00FC1F2E"/>
    <w:rsid w:val="00FD1935"/>
    <w:rsid w:val="00FE3C11"/>
    <w:rsid w:val="00FE6BC1"/>
    <w:rsid w:val="00FF0913"/>
    <w:rsid w:val="00FF49D2"/>
    <w:rsid w:val="00FF571E"/>
    <w:rsid w:val="065A09F6"/>
    <w:rsid w:val="0D0D1874"/>
    <w:rsid w:val="11232778"/>
    <w:rsid w:val="12ED2922"/>
    <w:rsid w:val="1923481D"/>
    <w:rsid w:val="1D996DA7"/>
    <w:rsid w:val="22117FBD"/>
    <w:rsid w:val="2C8B6D1D"/>
    <w:rsid w:val="30390294"/>
    <w:rsid w:val="34311585"/>
    <w:rsid w:val="3FA76497"/>
    <w:rsid w:val="4D9A567D"/>
    <w:rsid w:val="53D13C5E"/>
    <w:rsid w:val="61BD3F5D"/>
    <w:rsid w:val="743F25F5"/>
    <w:rsid w:val="7CAB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971C3"/>
    <w:rPr>
      <w:sz w:val="21"/>
      <w:szCs w:val="21"/>
    </w:rPr>
  </w:style>
  <w:style w:type="character" w:styleId="a4">
    <w:name w:val="page number"/>
    <w:basedOn w:val="a0"/>
    <w:rsid w:val="003971C3"/>
  </w:style>
  <w:style w:type="character" w:styleId="a5">
    <w:name w:val="Hyperlink"/>
    <w:uiPriority w:val="99"/>
    <w:unhideWhenUsed/>
    <w:rsid w:val="003971C3"/>
    <w:rPr>
      <w:color w:val="0000FF"/>
      <w:u w:val="single"/>
    </w:rPr>
  </w:style>
  <w:style w:type="character" w:customStyle="1" w:styleId="font41">
    <w:name w:val="font41"/>
    <w:rsid w:val="003971C3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71">
    <w:name w:val="font71"/>
    <w:rsid w:val="003971C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01">
    <w:name w:val="font01"/>
    <w:rsid w:val="003971C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sid w:val="003971C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styleId="a6">
    <w:name w:val="Document Map"/>
    <w:basedOn w:val="a"/>
    <w:semiHidden/>
    <w:rsid w:val="003971C3"/>
    <w:pPr>
      <w:shd w:val="clear" w:color="auto" w:fill="000080"/>
    </w:pPr>
  </w:style>
  <w:style w:type="paragraph" w:styleId="a7">
    <w:name w:val="Body Text"/>
    <w:basedOn w:val="a"/>
    <w:rsid w:val="003971C3"/>
    <w:pPr>
      <w:spacing w:after="120"/>
    </w:pPr>
  </w:style>
  <w:style w:type="paragraph" w:styleId="a8">
    <w:name w:val="header"/>
    <w:basedOn w:val="a"/>
    <w:rsid w:val="00397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397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z-">
    <w:name w:val="HTML Bottom of Form"/>
    <w:basedOn w:val="a"/>
    <w:next w:val="a"/>
    <w:rsid w:val="003971C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rsid w:val="003971C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a">
    <w:name w:val="Table Grid"/>
    <w:basedOn w:val="a1"/>
    <w:rsid w:val="0039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C70F5"/>
    <w:pPr>
      <w:ind w:firstLineChars="200" w:firstLine="420"/>
    </w:pPr>
    <w:rPr>
      <w:rFonts w:ascii="Calibri" w:hAnsi="Calibri"/>
      <w:szCs w:val="22"/>
    </w:rPr>
  </w:style>
  <w:style w:type="paragraph" w:styleId="ac">
    <w:name w:val="Date"/>
    <w:basedOn w:val="a"/>
    <w:next w:val="a"/>
    <w:link w:val="Char"/>
    <w:rsid w:val="0069389D"/>
    <w:pPr>
      <w:ind w:leftChars="2500" w:left="100"/>
    </w:pPr>
  </w:style>
  <w:style w:type="character" w:customStyle="1" w:styleId="Char">
    <w:name w:val="日期 Char"/>
    <w:basedOn w:val="a0"/>
    <w:link w:val="ac"/>
    <w:rsid w:val="0069389D"/>
    <w:rPr>
      <w:kern w:val="2"/>
      <w:sz w:val="21"/>
      <w:szCs w:val="24"/>
    </w:rPr>
  </w:style>
  <w:style w:type="paragraph" w:styleId="ad">
    <w:name w:val="caption"/>
    <w:basedOn w:val="a"/>
    <w:next w:val="a"/>
    <w:semiHidden/>
    <w:unhideWhenUsed/>
    <w:qFormat/>
    <w:rsid w:val="007436F5"/>
    <w:rPr>
      <w:rFonts w:ascii="Cambria" w:eastAsia="黑体" w:hAnsi="Cambria"/>
      <w:sz w:val="20"/>
      <w:szCs w:val="20"/>
    </w:rPr>
  </w:style>
  <w:style w:type="paragraph" w:styleId="ae">
    <w:name w:val="Balloon Text"/>
    <w:basedOn w:val="a"/>
    <w:link w:val="Char0"/>
    <w:semiHidden/>
    <w:unhideWhenUsed/>
    <w:rsid w:val="00A0439C"/>
    <w:rPr>
      <w:sz w:val="18"/>
      <w:szCs w:val="18"/>
    </w:rPr>
  </w:style>
  <w:style w:type="character" w:customStyle="1" w:styleId="Char0">
    <w:name w:val="批注框文本 Char"/>
    <w:basedOn w:val="a0"/>
    <w:link w:val="ae"/>
    <w:semiHidden/>
    <w:rsid w:val="00A043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1.xm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1608;&#31243;&#20255;\Desktop\&#25945;&#32946;&#22478;&#22495;&#32593;&#36816;&#34892;&#26376;&#25253;\2&#26376;&#27969;&#37327;&#22270;ne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1608;&#31243;&#20255;\Desktop\&#25945;&#32946;&#22478;&#22495;&#32593;&#36816;&#34892;&#26376;&#25253;\2&#26376;&#27969;&#37327;&#22270;new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1608;&#31243;&#20255;\Desktop\&#25945;&#32946;&#22478;&#22495;&#32593;&#36816;&#34892;&#26376;&#25253;\2&#26376;&#27969;&#37327;&#22270;new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1608;&#31243;&#20255;\Desktop\&#25945;&#32946;&#22478;&#22495;&#32593;&#36816;&#34892;&#26376;&#25253;\2&#26376;&#27969;&#37327;&#22270;ne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v>基础流量（G）</c:v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基础流量表!$A$3:$A$24</c:f>
              <c:strCache>
                <c:ptCount val="22"/>
                <c:pt idx="0">
                  <c:v>金牛区</c:v>
                </c:pt>
                <c:pt idx="1">
                  <c:v>成华区</c:v>
                </c:pt>
                <c:pt idx="2">
                  <c:v>金堂县</c:v>
                </c:pt>
                <c:pt idx="3">
                  <c:v>新都区</c:v>
                </c:pt>
                <c:pt idx="4">
                  <c:v>温江区</c:v>
                </c:pt>
                <c:pt idx="5">
                  <c:v>天府新区</c:v>
                </c:pt>
                <c:pt idx="6">
                  <c:v>龙泉驿区</c:v>
                </c:pt>
                <c:pt idx="7">
                  <c:v>大邑县</c:v>
                </c:pt>
                <c:pt idx="8">
                  <c:v>都江堰市</c:v>
                </c:pt>
                <c:pt idx="9">
                  <c:v>锦江区</c:v>
                </c:pt>
                <c:pt idx="10">
                  <c:v>青羊区</c:v>
                </c:pt>
                <c:pt idx="11">
                  <c:v>高新区</c:v>
                </c:pt>
                <c:pt idx="12">
                  <c:v>武侯区</c:v>
                </c:pt>
                <c:pt idx="13">
                  <c:v>双流区</c:v>
                </c:pt>
                <c:pt idx="14">
                  <c:v>郫都区</c:v>
                </c:pt>
                <c:pt idx="15">
                  <c:v>邛崃市</c:v>
                </c:pt>
                <c:pt idx="16">
                  <c:v>彭州市</c:v>
                </c:pt>
                <c:pt idx="17">
                  <c:v>崇州市</c:v>
                </c:pt>
                <c:pt idx="18">
                  <c:v>蒲江县</c:v>
                </c:pt>
                <c:pt idx="19">
                  <c:v>新津县</c:v>
                </c:pt>
                <c:pt idx="20">
                  <c:v>青白江区</c:v>
                </c:pt>
                <c:pt idx="21">
                  <c:v>市本级</c:v>
                </c:pt>
              </c:strCache>
            </c:strRef>
          </c:cat>
          <c:val>
            <c:numRef>
              <c:f>基础流量表!$B$3:$B$24</c:f>
              <c:numCache>
                <c:formatCode>General</c:formatCode>
                <c:ptCount val="22"/>
                <c:pt idx="0">
                  <c:v>3.7</c:v>
                </c:pt>
                <c:pt idx="1">
                  <c:v>3.1919999999999997</c:v>
                </c:pt>
                <c:pt idx="2">
                  <c:v>2.6159999999999997</c:v>
                </c:pt>
                <c:pt idx="3">
                  <c:v>2.6</c:v>
                </c:pt>
                <c:pt idx="4">
                  <c:v>2.6</c:v>
                </c:pt>
                <c:pt idx="5">
                  <c:v>2.5</c:v>
                </c:pt>
                <c:pt idx="6">
                  <c:v>2.5</c:v>
                </c:pt>
                <c:pt idx="7">
                  <c:v>2.1</c:v>
                </c:pt>
                <c:pt idx="8">
                  <c:v>2</c:v>
                </c:pt>
                <c:pt idx="9">
                  <c:v>1.9000000000000001</c:v>
                </c:pt>
                <c:pt idx="10">
                  <c:v>1.7829999999999977</c:v>
                </c:pt>
                <c:pt idx="11">
                  <c:v>1.7</c:v>
                </c:pt>
                <c:pt idx="12">
                  <c:v>1.691999999999998</c:v>
                </c:pt>
                <c:pt idx="13">
                  <c:v>1.6559999999999977</c:v>
                </c:pt>
                <c:pt idx="14">
                  <c:v>1.536</c:v>
                </c:pt>
                <c:pt idx="15">
                  <c:v>1.35</c:v>
                </c:pt>
                <c:pt idx="16">
                  <c:v>1.248</c:v>
                </c:pt>
                <c:pt idx="17">
                  <c:v>1.2</c:v>
                </c:pt>
                <c:pt idx="18">
                  <c:v>1.056</c:v>
                </c:pt>
                <c:pt idx="19">
                  <c:v>1</c:v>
                </c:pt>
                <c:pt idx="20">
                  <c:v>0.98699999999999999</c:v>
                </c:pt>
                <c:pt idx="21">
                  <c:v>0.56000000000000005</c:v>
                </c:pt>
              </c:numCache>
            </c:numRef>
          </c:val>
        </c:ser>
        <c:gapWidth val="219"/>
        <c:overlap val="-27"/>
        <c:axId val="188278656"/>
        <c:axId val="188280192"/>
      </c:barChart>
      <c:catAx>
        <c:axId val="188278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8280192"/>
        <c:crosses val="autoZero"/>
        <c:auto val="1"/>
        <c:lblAlgn val="ctr"/>
        <c:lblOffset val="100"/>
      </c:catAx>
      <c:valAx>
        <c:axId val="188280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827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2239054814973"/>
          <c:y val="0.15065612700253572"/>
          <c:w val="0.20783934431198994"/>
          <c:h val="5.8290547566249816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bar"/>
        <c:grouping val="clustered"/>
        <c:ser>
          <c:idx val="0"/>
          <c:order val="0"/>
          <c:tx>
            <c:strRef>
              <c:f>上下流量表!$B$2</c:f>
              <c:strCache>
                <c:ptCount val="1"/>
                <c:pt idx="0">
                  <c:v>2月上传流量(G)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上下流量表!$A$3:$A$22</c:f>
              <c:strCache>
                <c:ptCount val="20"/>
                <c:pt idx="0">
                  <c:v>市本级</c:v>
                </c:pt>
                <c:pt idx="1">
                  <c:v>新津县</c:v>
                </c:pt>
                <c:pt idx="2">
                  <c:v>蒲江县</c:v>
                </c:pt>
                <c:pt idx="3">
                  <c:v>崇州市</c:v>
                </c:pt>
                <c:pt idx="4">
                  <c:v>邛崃市</c:v>
                </c:pt>
                <c:pt idx="5">
                  <c:v>彭州市</c:v>
                </c:pt>
                <c:pt idx="6">
                  <c:v>都江堰市</c:v>
                </c:pt>
                <c:pt idx="7">
                  <c:v>温江区</c:v>
                </c:pt>
                <c:pt idx="8">
                  <c:v>成华区</c:v>
                </c:pt>
                <c:pt idx="9">
                  <c:v>新都区</c:v>
                </c:pt>
                <c:pt idx="10">
                  <c:v>青白江区</c:v>
                </c:pt>
                <c:pt idx="11">
                  <c:v>金堂县</c:v>
                </c:pt>
                <c:pt idx="12">
                  <c:v>天府新区</c:v>
                </c:pt>
                <c:pt idx="13">
                  <c:v>成华区</c:v>
                </c:pt>
                <c:pt idx="14">
                  <c:v>青羊区</c:v>
                </c:pt>
                <c:pt idx="15">
                  <c:v>锦江区</c:v>
                </c:pt>
                <c:pt idx="16">
                  <c:v>双流区</c:v>
                </c:pt>
                <c:pt idx="17">
                  <c:v>金牛区</c:v>
                </c:pt>
                <c:pt idx="18">
                  <c:v>武侯区</c:v>
                </c:pt>
                <c:pt idx="19">
                  <c:v>大邑县</c:v>
                </c:pt>
              </c:strCache>
            </c:strRef>
          </c:cat>
          <c:val>
            <c:numRef>
              <c:f>上下流量表!$B$3:$B$22</c:f>
              <c:numCache>
                <c:formatCode>General</c:formatCode>
                <c:ptCount val="20"/>
                <c:pt idx="0">
                  <c:v>21000</c:v>
                </c:pt>
                <c:pt idx="1">
                  <c:v>19000</c:v>
                </c:pt>
                <c:pt idx="2">
                  <c:v>27000</c:v>
                </c:pt>
                <c:pt idx="3">
                  <c:v>26000</c:v>
                </c:pt>
                <c:pt idx="4">
                  <c:v>30000</c:v>
                </c:pt>
                <c:pt idx="5">
                  <c:v>31000</c:v>
                </c:pt>
                <c:pt idx="6">
                  <c:v>30000</c:v>
                </c:pt>
                <c:pt idx="7">
                  <c:v>41000</c:v>
                </c:pt>
                <c:pt idx="8">
                  <c:v>36000</c:v>
                </c:pt>
                <c:pt idx="9">
                  <c:v>28000</c:v>
                </c:pt>
                <c:pt idx="10">
                  <c:v>42000</c:v>
                </c:pt>
                <c:pt idx="11">
                  <c:v>37000</c:v>
                </c:pt>
                <c:pt idx="12">
                  <c:v>54000</c:v>
                </c:pt>
                <c:pt idx="13">
                  <c:v>41000</c:v>
                </c:pt>
                <c:pt idx="14">
                  <c:v>55000</c:v>
                </c:pt>
                <c:pt idx="15">
                  <c:v>56000</c:v>
                </c:pt>
                <c:pt idx="16">
                  <c:v>54000</c:v>
                </c:pt>
                <c:pt idx="17">
                  <c:v>57000</c:v>
                </c:pt>
                <c:pt idx="18">
                  <c:v>50000</c:v>
                </c:pt>
                <c:pt idx="19">
                  <c:v>64000</c:v>
                </c:pt>
              </c:numCache>
            </c:numRef>
          </c:val>
        </c:ser>
        <c:ser>
          <c:idx val="1"/>
          <c:order val="1"/>
          <c:tx>
            <c:strRef>
              <c:f>上下流量表!$C$2</c:f>
              <c:strCache>
                <c:ptCount val="1"/>
                <c:pt idx="0">
                  <c:v>2月下载流量(G)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上下流量表!$A$3:$A$22</c:f>
              <c:strCache>
                <c:ptCount val="20"/>
                <c:pt idx="0">
                  <c:v>市本级</c:v>
                </c:pt>
                <c:pt idx="1">
                  <c:v>新津县</c:v>
                </c:pt>
                <c:pt idx="2">
                  <c:v>蒲江县</c:v>
                </c:pt>
                <c:pt idx="3">
                  <c:v>崇州市</c:v>
                </c:pt>
                <c:pt idx="4">
                  <c:v>邛崃市</c:v>
                </c:pt>
                <c:pt idx="5">
                  <c:v>彭州市</c:v>
                </c:pt>
                <c:pt idx="6">
                  <c:v>都江堰市</c:v>
                </c:pt>
                <c:pt idx="7">
                  <c:v>温江区</c:v>
                </c:pt>
                <c:pt idx="8">
                  <c:v>成华区</c:v>
                </c:pt>
                <c:pt idx="9">
                  <c:v>新都区</c:v>
                </c:pt>
                <c:pt idx="10">
                  <c:v>青白江区</c:v>
                </c:pt>
                <c:pt idx="11">
                  <c:v>金堂县</c:v>
                </c:pt>
                <c:pt idx="12">
                  <c:v>天府新区</c:v>
                </c:pt>
                <c:pt idx="13">
                  <c:v>成华区</c:v>
                </c:pt>
                <c:pt idx="14">
                  <c:v>青羊区</c:v>
                </c:pt>
                <c:pt idx="15">
                  <c:v>锦江区</c:v>
                </c:pt>
                <c:pt idx="16">
                  <c:v>双流区</c:v>
                </c:pt>
                <c:pt idx="17">
                  <c:v>金牛区</c:v>
                </c:pt>
                <c:pt idx="18">
                  <c:v>武侯区</c:v>
                </c:pt>
                <c:pt idx="19">
                  <c:v>大邑县</c:v>
                </c:pt>
              </c:strCache>
            </c:strRef>
          </c:cat>
          <c:val>
            <c:numRef>
              <c:f>上下流量表!$C$3:$C$22</c:f>
              <c:numCache>
                <c:formatCode>General</c:formatCode>
                <c:ptCount val="20"/>
                <c:pt idx="0">
                  <c:v>40000</c:v>
                </c:pt>
                <c:pt idx="1">
                  <c:v>45000</c:v>
                </c:pt>
                <c:pt idx="2">
                  <c:v>55000</c:v>
                </c:pt>
                <c:pt idx="3">
                  <c:v>58000</c:v>
                </c:pt>
                <c:pt idx="4">
                  <c:v>61000</c:v>
                </c:pt>
                <c:pt idx="5">
                  <c:v>60000</c:v>
                </c:pt>
                <c:pt idx="6">
                  <c:v>61000</c:v>
                </c:pt>
                <c:pt idx="7">
                  <c:v>70000</c:v>
                </c:pt>
                <c:pt idx="8">
                  <c:v>76000</c:v>
                </c:pt>
                <c:pt idx="9">
                  <c:v>97000</c:v>
                </c:pt>
                <c:pt idx="10">
                  <c:v>88000</c:v>
                </c:pt>
                <c:pt idx="11">
                  <c:v>98000</c:v>
                </c:pt>
                <c:pt idx="12">
                  <c:v>85000</c:v>
                </c:pt>
                <c:pt idx="13">
                  <c:v>98000</c:v>
                </c:pt>
                <c:pt idx="14">
                  <c:v>85000</c:v>
                </c:pt>
                <c:pt idx="15">
                  <c:v>89000</c:v>
                </c:pt>
                <c:pt idx="16">
                  <c:v>95000</c:v>
                </c:pt>
                <c:pt idx="17">
                  <c:v>99000</c:v>
                </c:pt>
                <c:pt idx="18">
                  <c:v>117000</c:v>
                </c:pt>
                <c:pt idx="19">
                  <c:v>106000</c:v>
                </c:pt>
              </c:numCache>
            </c:numRef>
          </c:val>
        </c:ser>
        <c:ser>
          <c:idx val="2"/>
          <c:order val="2"/>
          <c:tx>
            <c:strRef>
              <c:f>上下流量表!$D$2</c:f>
              <c:strCache>
                <c:ptCount val="1"/>
                <c:pt idx="0">
                  <c:v>总流量/月(G)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上下流量表!$A$3:$A$22</c:f>
              <c:strCache>
                <c:ptCount val="20"/>
                <c:pt idx="0">
                  <c:v>市本级</c:v>
                </c:pt>
                <c:pt idx="1">
                  <c:v>新津县</c:v>
                </c:pt>
                <c:pt idx="2">
                  <c:v>蒲江县</c:v>
                </c:pt>
                <c:pt idx="3">
                  <c:v>崇州市</c:v>
                </c:pt>
                <c:pt idx="4">
                  <c:v>邛崃市</c:v>
                </c:pt>
                <c:pt idx="5">
                  <c:v>彭州市</c:v>
                </c:pt>
                <c:pt idx="6">
                  <c:v>都江堰市</c:v>
                </c:pt>
                <c:pt idx="7">
                  <c:v>温江区</c:v>
                </c:pt>
                <c:pt idx="8">
                  <c:v>成华区</c:v>
                </c:pt>
                <c:pt idx="9">
                  <c:v>新都区</c:v>
                </c:pt>
                <c:pt idx="10">
                  <c:v>青白江区</c:v>
                </c:pt>
                <c:pt idx="11">
                  <c:v>金堂县</c:v>
                </c:pt>
                <c:pt idx="12">
                  <c:v>天府新区</c:v>
                </c:pt>
                <c:pt idx="13">
                  <c:v>成华区</c:v>
                </c:pt>
                <c:pt idx="14">
                  <c:v>青羊区</c:v>
                </c:pt>
                <c:pt idx="15">
                  <c:v>锦江区</c:v>
                </c:pt>
                <c:pt idx="16">
                  <c:v>双流区</c:v>
                </c:pt>
                <c:pt idx="17">
                  <c:v>金牛区</c:v>
                </c:pt>
                <c:pt idx="18">
                  <c:v>武侯区</c:v>
                </c:pt>
                <c:pt idx="19">
                  <c:v>大邑县</c:v>
                </c:pt>
              </c:strCache>
            </c:strRef>
          </c:cat>
          <c:val>
            <c:numRef>
              <c:f>上下流量表!$D$3:$D$22</c:f>
              <c:numCache>
                <c:formatCode>General</c:formatCode>
                <c:ptCount val="20"/>
                <c:pt idx="0">
                  <c:v>61000</c:v>
                </c:pt>
                <c:pt idx="1">
                  <c:v>64000</c:v>
                </c:pt>
                <c:pt idx="2">
                  <c:v>82000</c:v>
                </c:pt>
                <c:pt idx="3">
                  <c:v>84000</c:v>
                </c:pt>
                <c:pt idx="4">
                  <c:v>91000</c:v>
                </c:pt>
                <c:pt idx="5">
                  <c:v>91000</c:v>
                </c:pt>
                <c:pt idx="6">
                  <c:v>91000</c:v>
                </c:pt>
                <c:pt idx="7">
                  <c:v>111000</c:v>
                </c:pt>
                <c:pt idx="8">
                  <c:v>112000</c:v>
                </c:pt>
                <c:pt idx="9">
                  <c:v>125000</c:v>
                </c:pt>
                <c:pt idx="10">
                  <c:v>130000</c:v>
                </c:pt>
                <c:pt idx="11">
                  <c:v>135000</c:v>
                </c:pt>
                <c:pt idx="12">
                  <c:v>139000</c:v>
                </c:pt>
                <c:pt idx="13">
                  <c:v>139000</c:v>
                </c:pt>
                <c:pt idx="14">
                  <c:v>140000</c:v>
                </c:pt>
                <c:pt idx="15">
                  <c:v>145000</c:v>
                </c:pt>
                <c:pt idx="16">
                  <c:v>149000</c:v>
                </c:pt>
                <c:pt idx="17">
                  <c:v>156000</c:v>
                </c:pt>
                <c:pt idx="18">
                  <c:v>167000</c:v>
                </c:pt>
                <c:pt idx="19">
                  <c:v>170000</c:v>
                </c:pt>
              </c:numCache>
            </c:numRef>
          </c:val>
        </c:ser>
        <c:axId val="202361088"/>
        <c:axId val="202362880"/>
      </c:barChart>
      <c:catAx>
        <c:axId val="202361088"/>
        <c:scaling>
          <c:orientation val="minMax"/>
        </c:scaling>
        <c:axPos val="l"/>
        <c:numFmt formatCode="General" sourceLinked="0"/>
        <c:tickLblPos val="nextTo"/>
        <c:crossAx val="202362880"/>
        <c:crosses val="autoZero"/>
        <c:auto val="1"/>
        <c:lblAlgn val="ctr"/>
        <c:lblOffset val="100"/>
      </c:catAx>
      <c:valAx>
        <c:axId val="202362880"/>
        <c:scaling>
          <c:orientation val="minMax"/>
        </c:scaling>
        <c:axPos val="b"/>
        <c:majorGridlines/>
        <c:numFmt formatCode="General" sourceLinked="1"/>
        <c:tickLblPos val="nextTo"/>
        <c:crossAx val="20236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36242178401115"/>
          <c:y val="0.39779102831886892"/>
          <c:w val="0.15463477063285758"/>
          <c:h val="0.20676733460000823"/>
        </c:manualLayout>
      </c:layout>
    </c:legend>
    <c:plotVisOnly val="1"/>
    <c:dispBlanksAs val="gap"/>
  </c:chart>
  <c:txPr>
    <a:bodyPr/>
    <a:lstStyle/>
    <a:p>
      <a:pPr>
        <a:defRPr sz="1000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'使用率表 (2)'!$D$2</c:f>
              <c:strCache>
                <c:ptCount val="1"/>
                <c:pt idx="0">
                  <c:v>日平均流量（G）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'使用率表 (2)'!$A$3:$A$23</c:f>
              <c:strCache>
                <c:ptCount val="21"/>
                <c:pt idx="0">
                  <c:v>龙泉驿区</c:v>
                </c:pt>
                <c:pt idx="1">
                  <c:v>成华区</c:v>
                </c:pt>
                <c:pt idx="2">
                  <c:v>新都区</c:v>
                </c:pt>
                <c:pt idx="3">
                  <c:v>都江堰市</c:v>
                </c:pt>
                <c:pt idx="4">
                  <c:v>金堂县</c:v>
                </c:pt>
                <c:pt idx="5">
                  <c:v>双流区</c:v>
                </c:pt>
                <c:pt idx="6">
                  <c:v>武侯区</c:v>
                </c:pt>
                <c:pt idx="7">
                  <c:v>彭州市</c:v>
                </c:pt>
                <c:pt idx="8">
                  <c:v>温江区</c:v>
                </c:pt>
                <c:pt idx="9">
                  <c:v>锦江区</c:v>
                </c:pt>
                <c:pt idx="10">
                  <c:v>金牛区</c:v>
                </c:pt>
                <c:pt idx="11">
                  <c:v>邛崃市</c:v>
                </c:pt>
                <c:pt idx="12">
                  <c:v>青羊区</c:v>
                </c:pt>
                <c:pt idx="13">
                  <c:v>天府新区</c:v>
                </c:pt>
                <c:pt idx="14">
                  <c:v>崇州市</c:v>
                </c:pt>
                <c:pt idx="15">
                  <c:v>大邑县</c:v>
                </c:pt>
                <c:pt idx="16">
                  <c:v>高新区</c:v>
                </c:pt>
                <c:pt idx="17">
                  <c:v>新津县</c:v>
                </c:pt>
                <c:pt idx="18">
                  <c:v>青白江区</c:v>
                </c:pt>
                <c:pt idx="19">
                  <c:v>蒲江县</c:v>
                </c:pt>
                <c:pt idx="20">
                  <c:v>市本级</c:v>
                </c:pt>
              </c:strCache>
            </c:strRef>
          </c:cat>
          <c:val>
            <c:numRef>
              <c:f>'使用率表 (2)'!$D$3:$D$23</c:f>
              <c:numCache>
                <c:formatCode>General</c:formatCode>
                <c:ptCount val="21"/>
                <c:pt idx="0">
                  <c:v>0.80499999999999994</c:v>
                </c:pt>
                <c:pt idx="1">
                  <c:v>0.77000000000000068</c:v>
                </c:pt>
                <c:pt idx="2">
                  <c:v>0.76300000000000068</c:v>
                </c:pt>
                <c:pt idx="3">
                  <c:v>0.71400000000000052</c:v>
                </c:pt>
                <c:pt idx="4">
                  <c:v>0.62300000000000055</c:v>
                </c:pt>
                <c:pt idx="5">
                  <c:v>0.61600000000000055</c:v>
                </c:pt>
                <c:pt idx="6">
                  <c:v>0.58099999999999996</c:v>
                </c:pt>
                <c:pt idx="7">
                  <c:v>0.54599999999999993</c:v>
                </c:pt>
                <c:pt idx="8">
                  <c:v>0.53199999999999992</c:v>
                </c:pt>
                <c:pt idx="9">
                  <c:v>0.504</c:v>
                </c:pt>
                <c:pt idx="10">
                  <c:v>0.504</c:v>
                </c:pt>
                <c:pt idx="11">
                  <c:v>0.46200000000000002</c:v>
                </c:pt>
                <c:pt idx="12">
                  <c:v>0.44800000000000001</c:v>
                </c:pt>
                <c:pt idx="13">
                  <c:v>0.43400000000000027</c:v>
                </c:pt>
                <c:pt idx="14">
                  <c:v>0.40600000000000008</c:v>
                </c:pt>
                <c:pt idx="15">
                  <c:v>0.39900000000000041</c:v>
                </c:pt>
                <c:pt idx="16">
                  <c:v>0.37100000000000027</c:v>
                </c:pt>
                <c:pt idx="17">
                  <c:v>0.36400000000000032</c:v>
                </c:pt>
                <c:pt idx="18">
                  <c:v>0.33600000000000041</c:v>
                </c:pt>
                <c:pt idx="19">
                  <c:v>0.33600000000000041</c:v>
                </c:pt>
                <c:pt idx="20">
                  <c:v>0.19600000000000001</c:v>
                </c:pt>
              </c:numCache>
            </c:numRef>
          </c:val>
        </c:ser>
        <c:gapWidth val="219"/>
        <c:overlap val="-27"/>
        <c:axId val="202370432"/>
        <c:axId val="202376320"/>
      </c:barChart>
      <c:catAx>
        <c:axId val="202370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2376320"/>
        <c:crosses val="autoZero"/>
        <c:auto val="1"/>
        <c:lblAlgn val="ctr"/>
        <c:lblOffset val="100"/>
      </c:catAx>
      <c:valAx>
        <c:axId val="202376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solidFill>
              <a:schemeClr val="tx1">
                <a:lumMod val="95000"/>
                <a:lumOff val="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237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98265190113252"/>
          <c:y val="0.14596610264142601"/>
          <c:w val="0.23514515231050664"/>
          <c:h val="5.9840844362539787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使用率表!$E$2</c:f>
              <c:strCache>
                <c:ptCount val="1"/>
                <c:pt idx="0">
                  <c:v>日平均流量占比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使用率表!$A$3:$A$23</c:f>
              <c:strCache>
                <c:ptCount val="21"/>
                <c:pt idx="0">
                  <c:v>彭州市</c:v>
                </c:pt>
                <c:pt idx="1">
                  <c:v>双流区</c:v>
                </c:pt>
                <c:pt idx="2">
                  <c:v>新津县</c:v>
                </c:pt>
                <c:pt idx="3">
                  <c:v>都江堰市</c:v>
                </c:pt>
                <c:pt idx="4">
                  <c:v>市本级</c:v>
                </c:pt>
                <c:pt idx="5">
                  <c:v>武侯区</c:v>
                </c:pt>
                <c:pt idx="6">
                  <c:v>邛崃市</c:v>
                </c:pt>
                <c:pt idx="7">
                  <c:v>青白江区</c:v>
                </c:pt>
                <c:pt idx="8">
                  <c:v>崇州市</c:v>
                </c:pt>
                <c:pt idx="9">
                  <c:v>龙泉驿区</c:v>
                </c:pt>
                <c:pt idx="10">
                  <c:v>蒲江县</c:v>
                </c:pt>
                <c:pt idx="11">
                  <c:v>新都区</c:v>
                </c:pt>
                <c:pt idx="12">
                  <c:v>锦江区</c:v>
                </c:pt>
                <c:pt idx="13">
                  <c:v>青羊区</c:v>
                </c:pt>
                <c:pt idx="14">
                  <c:v>成华区</c:v>
                </c:pt>
                <c:pt idx="15">
                  <c:v>金堂县</c:v>
                </c:pt>
                <c:pt idx="16">
                  <c:v>高新区</c:v>
                </c:pt>
                <c:pt idx="17">
                  <c:v>温江区</c:v>
                </c:pt>
                <c:pt idx="18">
                  <c:v>大邑县</c:v>
                </c:pt>
                <c:pt idx="19">
                  <c:v>天府新区</c:v>
                </c:pt>
                <c:pt idx="20">
                  <c:v>金牛区</c:v>
                </c:pt>
              </c:strCache>
            </c:strRef>
          </c:cat>
          <c:val>
            <c:numRef>
              <c:f>使用率表!$E$3:$E$23</c:f>
              <c:numCache>
                <c:formatCode>0.00%</c:formatCode>
                <c:ptCount val="21"/>
                <c:pt idx="0">
                  <c:v>0.43750000000000028</c:v>
                </c:pt>
                <c:pt idx="1">
                  <c:v>0.37198067632850301</c:v>
                </c:pt>
                <c:pt idx="2">
                  <c:v>0.36400000000000032</c:v>
                </c:pt>
                <c:pt idx="3">
                  <c:v>0.35700000000000026</c:v>
                </c:pt>
                <c:pt idx="4">
                  <c:v>0.35000000000000026</c:v>
                </c:pt>
                <c:pt idx="5">
                  <c:v>0.34338061465721087</c:v>
                </c:pt>
                <c:pt idx="6">
                  <c:v>0.34222222222222232</c:v>
                </c:pt>
                <c:pt idx="7">
                  <c:v>0.34042553191489416</c:v>
                </c:pt>
                <c:pt idx="8">
                  <c:v>0.33833333333333332</c:v>
                </c:pt>
                <c:pt idx="9">
                  <c:v>0.32200000000000034</c:v>
                </c:pt>
                <c:pt idx="10">
                  <c:v>0.31818181818181845</c:v>
                </c:pt>
                <c:pt idx="11">
                  <c:v>0.29346153846153811</c:v>
                </c:pt>
                <c:pt idx="12">
                  <c:v>0.26526315789473676</c:v>
                </c:pt>
                <c:pt idx="13">
                  <c:v>0.25126191811553533</c:v>
                </c:pt>
                <c:pt idx="14">
                  <c:v>0.24122807017543879</c:v>
                </c:pt>
                <c:pt idx="15">
                  <c:v>0.23814984709480136</c:v>
                </c:pt>
                <c:pt idx="16">
                  <c:v>0.21823529411764736</c:v>
                </c:pt>
                <c:pt idx="17">
                  <c:v>0.20461538461538478</c:v>
                </c:pt>
                <c:pt idx="18">
                  <c:v>0.19000000000000003</c:v>
                </c:pt>
                <c:pt idx="19">
                  <c:v>0.1736</c:v>
                </c:pt>
                <c:pt idx="20">
                  <c:v>0.13621621621621621</c:v>
                </c:pt>
              </c:numCache>
            </c:numRef>
          </c:val>
        </c:ser>
        <c:gapWidth val="219"/>
        <c:overlap val="-27"/>
        <c:axId val="202387840"/>
        <c:axId val="202389376"/>
      </c:barChart>
      <c:catAx>
        <c:axId val="202387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2389376"/>
        <c:crosses val="autoZero"/>
        <c:auto val="1"/>
        <c:lblAlgn val="ctr"/>
        <c:lblOffset val="100"/>
      </c:catAx>
      <c:valAx>
        <c:axId val="202389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solidFill>
              <a:schemeClr val="tx1">
                <a:lumMod val="95000"/>
                <a:lumOff val="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238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98265190113252"/>
          <c:y val="0.1459661026414259"/>
          <c:w val="0.23514515231050664"/>
          <c:h val="5.9840844362539787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663</Words>
  <Characters>671</Characters>
  <Application>Microsoft Office Word</Application>
  <DocSecurity>0</DocSecurity>
  <PresentationFormat/>
  <Lines>30</Lines>
  <Paragraphs>21</Paragraphs>
  <Slides>0</Slides>
  <Notes>0</Notes>
  <HiddenSlides>0</HiddenSlides>
  <MMClips>0</MMClips>
  <ScaleCrop>false</ScaleCrop>
  <Company>Lenovo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马星</dc:creator>
  <cp:lastModifiedBy>冯媚</cp:lastModifiedBy>
  <cp:revision>17</cp:revision>
  <cp:lastPrinted>2017-04-07T03:16:00Z</cp:lastPrinted>
  <dcterms:created xsi:type="dcterms:W3CDTF">2017-04-12T06:25:00Z</dcterms:created>
  <dcterms:modified xsi:type="dcterms:W3CDTF">2017-05-12T08:56:00Z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